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2" w:rsidRDefault="00221722"/>
    <w:tbl>
      <w:tblPr>
        <w:tblStyle w:val="Mkatabulky"/>
        <w:tblW w:w="0" w:type="auto"/>
        <w:tblInd w:w="-52" w:type="dxa"/>
        <w:tblLayout w:type="fixed"/>
        <w:tblLook w:val="04A0" w:firstRow="1" w:lastRow="0" w:firstColumn="1" w:lastColumn="0" w:noHBand="0" w:noVBand="1"/>
      </w:tblPr>
      <w:tblGrid>
        <w:gridCol w:w="7279"/>
        <w:gridCol w:w="5498"/>
      </w:tblGrid>
      <w:tr w:rsidR="001708E3" w:rsidRPr="00963626" w:rsidTr="00995118">
        <w:tc>
          <w:tcPr>
            <w:tcW w:w="1277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FC65BB" w:rsidRDefault="00FC65BB" w:rsidP="00FC65BB">
            <w:pPr>
              <w:spacing w:before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Nařízení Evropského parlamentu a Rady (EU) 2019/4 ze dne 11. prosince 2018 o výrobě, uvádění na trh a používání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medikovaných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krmiv, o změně nařízení Evropského parlamentu a Rady (ES) č. 183/2005 a o zrušení směrnice Rady 90/167/EHS</w:t>
            </w:r>
          </w:p>
          <w:p w:rsidR="00FC65BB" w:rsidRDefault="009C24C5" w:rsidP="00FC65BB">
            <w:pPr>
              <w:spacing w:before="120"/>
              <w:rPr>
                <w:rStyle w:val="Hypertextovodkaz"/>
                <w:bCs/>
                <w:sz w:val="24"/>
                <w:szCs w:val="24"/>
              </w:rPr>
            </w:pPr>
            <w:hyperlink r:id="rId8" w:history="1">
              <w:r w:rsidR="00FC65BB" w:rsidRPr="006C40B1">
                <w:rPr>
                  <w:rStyle w:val="Hypertextovodkaz"/>
                  <w:bCs/>
                  <w:sz w:val="24"/>
                  <w:szCs w:val="24"/>
                </w:rPr>
                <w:t>https://eur-lex.europa.eu/legal-content/CS/TXT/PDF/?uri=CELEX:32019R0004&amp;from=CS</w:t>
              </w:r>
            </w:hyperlink>
          </w:p>
          <w:p w:rsidR="00A24706" w:rsidRDefault="00A24706" w:rsidP="00043FF2">
            <w:pPr>
              <w:spacing w:before="120"/>
              <w:ind w:left="567"/>
              <w:rPr>
                <w:b/>
                <w:i/>
                <w:color w:val="7030A0"/>
              </w:rPr>
            </w:pPr>
          </w:p>
          <w:p w:rsidR="00043FF2" w:rsidRPr="00043FF2" w:rsidRDefault="00043FF2" w:rsidP="00A24706">
            <w:pPr>
              <w:ind w:left="567"/>
              <w:rPr>
                <w:b/>
                <w:i/>
                <w:color w:val="7030A0"/>
              </w:rPr>
            </w:pPr>
            <w:r w:rsidRPr="00043FF2">
              <w:rPr>
                <w:b/>
                <w:i/>
                <w:color w:val="7030A0"/>
              </w:rPr>
              <w:t xml:space="preserve">Přechodná opatření </w:t>
            </w:r>
          </w:p>
          <w:p w:rsidR="00043FF2" w:rsidRPr="00043FF2" w:rsidRDefault="00043FF2" w:rsidP="00A24706">
            <w:pPr>
              <w:ind w:left="567"/>
              <w:rPr>
                <w:i/>
                <w:color w:val="7030A0"/>
              </w:rPr>
            </w:pPr>
            <w:r w:rsidRPr="00043FF2">
              <w:rPr>
                <w:i/>
                <w:color w:val="7030A0"/>
              </w:rPr>
              <w:t>Aniž je dotčeno datum použitelnosti uvedené v článku 26, ode dne 27. ledna 2019 je Komisi svěřena pravomoc přijímat akty v přenesené pravomoci stanovené v čl. 7 odst. 3</w:t>
            </w:r>
          </w:p>
          <w:p w:rsidR="00A24706" w:rsidRDefault="00A24706" w:rsidP="00A24706">
            <w:pPr>
              <w:ind w:left="567"/>
              <w:rPr>
                <w:b/>
                <w:i/>
                <w:color w:val="7030A0"/>
              </w:rPr>
            </w:pPr>
          </w:p>
          <w:p w:rsidR="00043FF2" w:rsidRPr="00043FF2" w:rsidRDefault="00043FF2" w:rsidP="00A24706">
            <w:pPr>
              <w:ind w:left="567"/>
              <w:rPr>
                <w:b/>
                <w:i/>
                <w:color w:val="7030A0"/>
              </w:rPr>
            </w:pPr>
            <w:r w:rsidRPr="00043FF2">
              <w:rPr>
                <w:b/>
                <w:i/>
                <w:color w:val="7030A0"/>
              </w:rPr>
              <w:t xml:space="preserve">Zrušení </w:t>
            </w:r>
          </w:p>
          <w:p w:rsidR="001708E3" w:rsidRDefault="00043FF2" w:rsidP="00A24706">
            <w:pPr>
              <w:ind w:left="567"/>
              <w:rPr>
                <w:bCs/>
                <w:i/>
                <w:color w:val="7030A0"/>
                <w:sz w:val="24"/>
                <w:szCs w:val="24"/>
              </w:rPr>
            </w:pPr>
            <w:r w:rsidRPr="00043FF2">
              <w:rPr>
                <w:i/>
                <w:color w:val="7030A0"/>
              </w:rPr>
              <w:t>Směrnice 90/167/EHS se zrušuje. Odkazy na zrušenou směrnici se považují za odkazy na toto nařízení v souladu se srovnávací tabulkou obsaženou v příloze VI tohoto nařízení.</w:t>
            </w:r>
          </w:p>
          <w:p w:rsidR="00A24706" w:rsidRPr="00A24706" w:rsidRDefault="00A24706" w:rsidP="00A24706">
            <w:pPr>
              <w:ind w:left="567"/>
              <w:rPr>
                <w:bCs/>
                <w:i/>
                <w:color w:val="7030A0"/>
                <w:sz w:val="24"/>
                <w:szCs w:val="24"/>
              </w:rPr>
            </w:pPr>
          </w:p>
        </w:tc>
      </w:tr>
      <w:tr w:rsidR="00613BB6" w:rsidRPr="00963626" w:rsidTr="00995118">
        <w:tc>
          <w:tcPr>
            <w:tcW w:w="1277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CD4B6E" w:rsidRDefault="00613BB6" w:rsidP="001A3EFB">
            <w:pPr>
              <w:spacing w:before="120" w:after="120"/>
              <w:ind w:left="176"/>
              <w:jc w:val="center"/>
              <w:rPr>
                <w:b/>
                <w:color w:val="FF0000"/>
                <w:sz w:val="32"/>
                <w:szCs w:val="32"/>
              </w:rPr>
            </w:pPr>
            <w:r w:rsidRPr="00DA07F1">
              <w:rPr>
                <w:b/>
                <w:color w:val="FF0000"/>
                <w:sz w:val="32"/>
                <w:szCs w:val="32"/>
              </w:rPr>
              <w:t xml:space="preserve">Nařízení </w:t>
            </w:r>
            <w:r w:rsidR="00D543A5" w:rsidRPr="00D543A5">
              <w:rPr>
                <w:b/>
                <w:color w:val="FF0000"/>
                <w:sz w:val="32"/>
                <w:szCs w:val="32"/>
              </w:rPr>
              <w:t>o veterinárních léčivých přípravcích 2019/6</w:t>
            </w:r>
          </w:p>
          <w:p w:rsidR="00F779FE" w:rsidRPr="006E0EC2" w:rsidRDefault="00F779FE" w:rsidP="00F779FE">
            <w:pPr>
              <w:spacing w:before="120" w:after="120"/>
              <w:ind w:lef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6E0EC2">
              <w:rPr>
                <w:b/>
                <w:color w:val="C00000"/>
                <w:sz w:val="28"/>
                <w:szCs w:val="28"/>
              </w:rPr>
              <w:t xml:space="preserve">a </w:t>
            </w:r>
            <w:bookmarkStart w:id="0" w:name="_Hlk69905314"/>
            <w:r w:rsidRPr="006E0EC2">
              <w:rPr>
                <w:b/>
                <w:color w:val="C00000"/>
                <w:sz w:val="28"/>
                <w:szCs w:val="28"/>
              </w:rPr>
              <w:t>předpisy přijaté na základě tohoto předpisu</w:t>
            </w:r>
            <w:bookmarkEnd w:id="0"/>
          </w:p>
          <w:p w:rsidR="00613BB6" w:rsidRPr="001A3EFB" w:rsidRDefault="00DB1C61" w:rsidP="00200513">
            <w:pPr>
              <w:spacing w:before="120" w:after="360"/>
              <w:ind w:left="176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Použitelnost</w:t>
            </w:r>
            <w:r w:rsidR="001A3EFB" w:rsidRPr="001A3EFB">
              <w:rPr>
                <w:b/>
                <w:i/>
                <w:color w:val="C00000"/>
                <w:sz w:val="28"/>
                <w:szCs w:val="28"/>
              </w:rPr>
              <w:t xml:space="preserve"> od </w:t>
            </w:r>
            <w:r w:rsidR="00043FF2" w:rsidRPr="00043FF2">
              <w:rPr>
                <w:b/>
                <w:i/>
                <w:color w:val="C00000"/>
                <w:sz w:val="28"/>
                <w:szCs w:val="28"/>
              </w:rPr>
              <w:t xml:space="preserve">28. </w:t>
            </w:r>
            <w:r w:rsidR="00043FF2">
              <w:rPr>
                <w:b/>
                <w:i/>
                <w:color w:val="C00000"/>
                <w:sz w:val="28"/>
                <w:szCs w:val="28"/>
              </w:rPr>
              <w:t xml:space="preserve">1. </w:t>
            </w:r>
            <w:r w:rsidR="00043FF2" w:rsidRPr="00043FF2">
              <w:rPr>
                <w:b/>
                <w:i/>
                <w:color w:val="C00000"/>
                <w:sz w:val="28"/>
                <w:szCs w:val="28"/>
              </w:rPr>
              <w:t xml:space="preserve">2022 </w:t>
            </w:r>
            <w:r w:rsidR="001A3EFB" w:rsidRPr="001A3EFB">
              <w:rPr>
                <w:b/>
                <w:i/>
                <w:color w:val="C00000"/>
                <w:sz w:val="28"/>
                <w:szCs w:val="28"/>
              </w:rPr>
              <w:t>(</w:t>
            </w:r>
            <w:r w:rsidR="001A3EFB">
              <w:rPr>
                <w:b/>
                <w:i/>
                <w:color w:val="C00000"/>
                <w:sz w:val="28"/>
                <w:szCs w:val="28"/>
              </w:rPr>
              <w:t>+</w:t>
            </w:r>
            <w:r w:rsidR="001A3EFB" w:rsidRPr="001A3EFB">
              <w:rPr>
                <w:b/>
                <w:i/>
                <w:color w:val="C00000"/>
                <w:sz w:val="28"/>
                <w:szCs w:val="28"/>
              </w:rPr>
              <w:t xml:space="preserve">výjimky viz tabulka); přehled aktualizovaný ke dni </w:t>
            </w:r>
            <w:proofErr w:type="gramStart"/>
            <w:r w:rsidR="006D5C19">
              <w:rPr>
                <w:b/>
                <w:i/>
                <w:color w:val="C00000"/>
                <w:sz w:val="28"/>
                <w:szCs w:val="28"/>
              </w:rPr>
              <w:t>11</w:t>
            </w:r>
            <w:r w:rsidR="00613BB6" w:rsidRPr="001A3EFB">
              <w:rPr>
                <w:b/>
                <w:i/>
                <w:color w:val="C00000"/>
                <w:sz w:val="28"/>
                <w:szCs w:val="28"/>
              </w:rPr>
              <w:t>.</w:t>
            </w:r>
            <w:r w:rsidR="006D5C19">
              <w:rPr>
                <w:b/>
                <w:i/>
                <w:color w:val="C00000"/>
                <w:sz w:val="28"/>
                <w:szCs w:val="28"/>
              </w:rPr>
              <w:t>4</w:t>
            </w:r>
            <w:r w:rsidR="00613BB6" w:rsidRPr="001A3EFB">
              <w:rPr>
                <w:b/>
                <w:i/>
                <w:color w:val="C00000"/>
                <w:sz w:val="28"/>
                <w:szCs w:val="28"/>
              </w:rPr>
              <w:t>.20</w:t>
            </w:r>
            <w:r w:rsidR="00964C27">
              <w:rPr>
                <w:b/>
                <w:i/>
                <w:color w:val="C00000"/>
                <w:sz w:val="28"/>
                <w:szCs w:val="28"/>
              </w:rPr>
              <w:t>2</w:t>
            </w:r>
            <w:r w:rsidR="00A73D6C">
              <w:rPr>
                <w:b/>
                <w:i/>
                <w:color w:val="C00000"/>
                <w:sz w:val="28"/>
                <w:szCs w:val="28"/>
              </w:rPr>
              <w:t>2</w:t>
            </w:r>
            <w:proofErr w:type="gramEnd"/>
          </w:p>
        </w:tc>
      </w:tr>
      <w:tr w:rsidR="006C40B1" w:rsidTr="00BD6657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0B1" w:rsidRDefault="006C40B1" w:rsidP="006C40B1">
            <w:pPr>
              <w:spacing w:before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Nařízení Evropského parlamentu a Rady (EU) 2019/6 ze dne 11. prosince 2018 o veterinárních léčivých přípravcích a o zrušení směrnice 2001/82/ES</w:t>
            </w:r>
          </w:p>
          <w:p w:rsidR="006C40B1" w:rsidRPr="00FA15B1" w:rsidRDefault="006C40B1" w:rsidP="006C40B1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FA15B1">
              <w:rPr>
                <w:i/>
              </w:rPr>
              <w:t>Nejnovější konsolidované znění dostupné k dnešnímu dni je z</w:t>
            </w:r>
            <w:r>
              <w:rPr>
                <w:i/>
              </w:rPr>
              <w:t> </w:t>
            </w:r>
            <w:r w:rsidRPr="00FA15B1">
              <w:rPr>
                <w:i/>
              </w:rPr>
              <w:t>data</w:t>
            </w:r>
            <w:r>
              <w:rPr>
                <w:i/>
              </w:rPr>
              <w:t xml:space="preserve"> </w:t>
            </w:r>
            <w:r w:rsidRPr="00B565DC">
              <w:rPr>
                <w:b/>
                <w:i/>
              </w:rPr>
              <w:t>28/01/2022</w:t>
            </w:r>
            <w:r w:rsidRPr="00FA15B1">
              <w:rPr>
                <w:i/>
                <w:sz w:val="20"/>
                <w:szCs w:val="20"/>
              </w:rPr>
              <w:t>:</w:t>
            </w:r>
          </w:p>
          <w:p w:rsidR="006C40B1" w:rsidRDefault="009C24C5" w:rsidP="006C40B1">
            <w:pPr>
              <w:spacing w:before="120"/>
              <w:rPr>
                <w:b/>
                <w:bCs/>
                <w:sz w:val="24"/>
                <w:szCs w:val="24"/>
              </w:rPr>
            </w:pPr>
            <w:hyperlink r:id="rId9" w:history="1">
              <w:r w:rsidR="006C40B1" w:rsidRPr="000701AF">
                <w:rPr>
                  <w:rStyle w:val="Hypertextovodkaz"/>
                  <w:b/>
                  <w:bCs/>
                  <w:sz w:val="24"/>
                  <w:szCs w:val="24"/>
                </w:rPr>
                <w:t>https://eur-lex.europa.eu/legal-content/CS/TXT/PDF/?uri=CELEX:02019R0006-20220128&amp;qid=1643705186812&amp;from=CS</w:t>
              </w:r>
            </w:hyperlink>
          </w:p>
          <w:p w:rsidR="006C40B1" w:rsidRPr="00E632D8" w:rsidRDefault="006C40B1" w:rsidP="00BD6657">
            <w:pPr>
              <w:spacing w:before="120" w:after="120"/>
              <w:ind w:left="567"/>
              <w:rPr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6D8" w:rsidRPr="004900FC" w:rsidRDefault="00E146D8" w:rsidP="00E146D8">
            <w:pPr>
              <w:spacing w:before="120" w:after="120"/>
              <w:ind w:left="34"/>
              <w:rPr>
                <w:b/>
                <w:bCs/>
                <w:iCs/>
                <w:color w:val="0070C0"/>
                <w:sz w:val="20"/>
                <w:szCs w:val="20"/>
              </w:rPr>
            </w:pPr>
            <w:r w:rsidRPr="004900FC">
              <w:rPr>
                <w:b/>
                <w:bCs/>
                <w:iCs/>
                <w:color w:val="0070C0"/>
                <w:sz w:val="20"/>
                <w:szCs w:val="20"/>
              </w:rPr>
              <w:lastRenderedPageBreak/>
              <w:t>Zrušení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4900FC">
              <w:rPr>
                <w:iCs/>
                <w:color w:val="0070C0"/>
                <w:sz w:val="20"/>
                <w:szCs w:val="20"/>
              </w:rPr>
              <w:t>Směrnice 2001/82/ES se zrušuje.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4900FC">
              <w:rPr>
                <w:iCs/>
                <w:color w:val="0070C0"/>
                <w:sz w:val="20"/>
                <w:szCs w:val="20"/>
              </w:rPr>
              <w:t>Odkazy na zrušenou směrnici se považují za odkazy na toto nařízení v souladu se srovnávací tabulkou obsaženou v příloze IV.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b/>
                <w:bCs/>
                <w:iCs/>
                <w:color w:val="0070C0"/>
                <w:sz w:val="20"/>
                <w:szCs w:val="20"/>
              </w:rPr>
            </w:pPr>
            <w:r w:rsidRPr="004900FC">
              <w:rPr>
                <w:b/>
                <w:bCs/>
                <w:iCs/>
                <w:color w:val="0070C0"/>
                <w:sz w:val="20"/>
                <w:szCs w:val="20"/>
              </w:rPr>
              <w:t>Vztah k jiným aktům Unie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4900FC">
              <w:rPr>
                <w:iCs/>
                <w:color w:val="0070C0"/>
                <w:sz w:val="20"/>
                <w:szCs w:val="20"/>
              </w:rPr>
              <w:t xml:space="preserve">1.   Žádné ustanovení tohoto nařízení nelze pojímat tak, že by </w:t>
            </w:r>
            <w:r w:rsidRPr="004900FC">
              <w:rPr>
                <w:iCs/>
                <w:color w:val="0070C0"/>
                <w:sz w:val="20"/>
                <w:szCs w:val="20"/>
              </w:rPr>
              <w:lastRenderedPageBreak/>
              <w:t>měnilo ustanovení směrnice 96/22/ES.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4900FC">
              <w:rPr>
                <w:iCs/>
                <w:color w:val="0070C0"/>
                <w:sz w:val="20"/>
                <w:szCs w:val="20"/>
              </w:rPr>
              <w:t>2.   Nařízení Komise (ES) č. 1234/2008 se nevztahuje na veterinární léčivé přípravky, na něž se vztahuje toto nařízení.</w:t>
            </w:r>
          </w:p>
          <w:p w:rsidR="00E146D8" w:rsidRPr="004900FC" w:rsidRDefault="00E146D8" w:rsidP="00E146D8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4900FC">
              <w:rPr>
                <w:iCs/>
                <w:color w:val="0070C0"/>
                <w:sz w:val="20"/>
                <w:szCs w:val="20"/>
              </w:rPr>
              <w:t>3.   Nařízení Komise (ES) č. 658/2007</w:t>
            </w:r>
            <w:hyperlink r:id="rId10" w:anchor="ntr31-L_2019004CS.01004301-E0031" w:history="1">
              <w:r w:rsidRPr="004900FC">
                <w:rPr>
                  <w:rStyle w:val="Hypertextovodkaz"/>
                  <w:iCs/>
                  <w:sz w:val="20"/>
                  <w:szCs w:val="20"/>
                </w:rPr>
                <w:t>(</w:t>
              </w:r>
              <w:r w:rsidRPr="004900FC">
                <w:rPr>
                  <w:rStyle w:val="Hypertextovodkaz"/>
                  <w:iCs/>
                  <w:sz w:val="20"/>
                  <w:szCs w:val="20"/>
                  <w:vertAlign w:val="superscript"/>
                </w:rPr>
                <w:t>31</w:t>
              </w:r>
              <w:r w:rsidRPr="004900FC">
                <w:rPr>
                  <w:rStyle w:val="Hypertextovodkaz"/>
                  <w:iCs/>
                  <w:sz w:val="20"/>
                  <w:szCs w:val="20"/>
                </w:rPr>
                <w:t>)</w:t>
              </w:r>
            </w:hyperlink>
            <w:r w:rsidRPr="004900FC">
              <w:rPr>
                <w:iCs/>
                <w:color w:val="0070C0"/>
                <w:sz w:val="20"/>
                <w:szCs w:val="20"/>
              </w:rPr>
              <w:t xml:space="preserve"> se nevztahuje na veterinární léčivé přípravky, na něž se vztahuje toto nařízení.</w:t>
            </w:r>
          </w:p>
          <w:p w:rsidR="006C40B1" w:rsidRPr="00CF508A" w:rsidRDefault="006C40B1" w:rsidP="00BD6657">
            <w:pPr>
              <w:spacing w:before="120" w:after="120"/>
              <w:ind w:left="34"/>
              <w:rPr>
                <w:b/>
                <w:iCs/>
                <w:color w:val="0070C0"/>
                <w:sz w:val="20"/>
                <w:szCs w:val="20"/>
              </w:rPr>
            </w:pPr>
          </w:p>
        </w:tc>
      </w:tr>
      <w:tr w:rsidR="00954892" w:rsidRPr="00963626" w:rsidTr="00995118">
        <w:tc>
          <w:tcPr>
            <w:tcW w:w="12777" w:type="dxa"/>
            <w:gridSpan w:val="2"/>
            <w:tcBorders>
              <w:top w:val="single" w:sz="24" w:space="0" w:color="auto"/>
              <w:left w:val="single" w:sz="2" w:space="0" w:color="auto"/>
              <w:bottom w:val="nil"/>
            </w:tcBorders>
          </w:tcPr>
          <w:p w:rsidR="00954892" w:rsidRPr="00B6548E" w:rsidRDefault="008B0C9D" w:rsidP="00A06182">
            <w:pPr>
              <w:spacing w:before="240" w:after="240"/>
              <w:ind w:left="176"/>
              <w:rPr>
                <w:b/>
                <w:color w:val="7030A0"/>
                <w:sz w:val="28"/>
                <w:szCs w:val="28"/>
                <w:highlight w:val="lightGray"/>
              </w:rPr>
            </w:pPr>
            <w:r w:rsidRPr="00F779FE">
              <w:rPr>
                <w:b/>
                <w:bCs/>
                <w:sz w:val="28"/>
                <w:szCs w:val="28"/>
                <w:highlight w:val="cyan"/>
              </w:rPr>
              <w:lastRenderedPageBreak/>
              <w:t>Předpisy vydané na základě tohoto předpisu</w:t>
            </w:r>
          </w:p>
        </w:tc>
      </w:tr>
      <w:tr w:rsidR="004900FC" w:rsidTr="00743434">
        <w:tc>
          <w:tcPr>
            <w:tcW w:w="727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900FC" w:rsidRPr="009017FD" w:rsidRDefault="00043FF2" w:rsidP="00043FF2">
            <w:pPr>
              <w:spacing w:before="120" w:after="120"/>
              <w:ind w:left="567"/>
              <w:jc w:val="center"/>
              <w:rPr>
                <w:bCs/>
                <w:color w:val="FF0000"/>
              </w:rPr>
            </w:pPr>
            <w:r w:rsidRPr="00BB1561">
              <w:rPr>
                <w:b/>
                <w:highlight w:val="cyan"/>
              </w:rPr>
              <w:t xml:space="preserve">Název + odkaz na </w:t>
            </w:r>
            <w:proofErr w:type="spellStart"/>
            <w:r w:rsidRPr="00BB1561">
              <w:rPr>
                <w:b/>
                <w:highlight w:val="cyan"/>
              </w:rPr>
              <w:t>Úř</w:t>
            </w:r>
            <w:proofErr w:type="spellEnd"/>
            <w:r w:rsidRPr="00BB1561">
              <w:rPr>
                <w:b/>
                <w:highlight w:val="cyan"/>
              </w:rPr>
              <w:t xml:space="preserve">. </w:t>
            </w:r>
            <w:proofErr w:type="spellStart"/>
            <w:r w:rsidRPr="00BB1561">
              <w:rPr>
                <w:b/>
                <w:highlight w:val="cyan"/>
              </w:rPr>
              <w:t>věst</w:t>
            </w:r>
            <w:proofErr w:type="spellEnd"/>
            <w:r w:rsidRPr="00BB1561">
              <w:rPr>
                <w:b/>
                <w:highlight w:val="cyan"/>
              </w:rPr>
              <w:t>.</w:t>
            </w: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4900FC" w:rsidRPr="009017FD" w:rsidRDefault="00043FF2" w:rsidP="00043FF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B08AF">
              <w:rPr>
                <w:b/>
                <w:sz w:val="24"/>
                <w:szCs w:val="24"/>
                <w:highlight w:val="cyan"/>
              </w:rPr>
              <w:t>Zmocnění v</w:t>
            </w:r>
            <w:r>
              <w:rPr>
                <w:b/>
                <w:sz w:val="24"/>
                <w:szCs w:val="24"/>
                <w:highlight w:val="cyan"/>
              </w:rPr>
              <w:t> </w:t>
            </w:r>
            <w:proofErr w:type="spellStart"/>
            <w:r w:rsidRPr="003B08AF">
              <w:rPr>
                <w:b/>
                <w:sz w:val="24"/>
                <w:szCs w:val="24"/>
                <w:highlight w:val="cyan"/>
              </w:rPr>
              <w:t>nař</w:t>
            </w:r>
            <w:proofErr w:type="spellEnd"/>
            <w:r>
              <w:rPr>
                <w:b/>
                <w:sz w:val="24"/>
                <w:szCs w:val="24"/>
                <w:highlight w:val="cyan"/>
              </w:rPr>
              <w:t xml:space="preserve">. </w:t>
            </w:r>
            <w:r w:rsidRPr="00043FF2">
              <w:rPr>
                <w:b/>
                <w:bCs/>
                <w:sz w:val="24"/>
                <w:szCs w:val="24"/>
                <w:highlight w:val="cyan"/>
              </w:rPr>
              <w:t>2019/6</w:t>
            </w:r>
          </w:p>
        </w:tc>
      </w:tr>
      <w:tr w:rsidR="007F1F06" w:rsidTr="00743434">
        <w:tc>
          <w:tcPr>
            <w:tcW w:w="727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4E8" w:rsidRPr="009017FD" w:rsidRDefault="004724E8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Prováděcí nařízení Komise (EU) </w:t>
            </w:r>
            <w:r w:rsidRPr="009017FD">
              <w:rPr>
                <w:b/>
                <w:bCs/>
                <w:color w:val="FF0000"/>
              </w:rPr>
              <w:t>2021/16</w:t>
            </w:r>
            <w:r w:rsidRPr="009017FD">
              <w:rPr>
                <w:bCs/>
                <w:color w:val="FF0000"/>
              </w:rPr>
              <w:t>, ze dne 8. ledna 2021, kterým se stanoví nezbytná opatření a praktické kroky pro databázi Unie pro veterinární léčivé přípravky (</w:t>
            </w:r>
            <w:r w:rsidRPr="009017FD">
              <w:rPr>
                <w:b/>
                <w:bCs/>
                <w:color w:val="FF0000"/>
              </w:rPr>
              <w:t>databázi Unie pro přípravky</w:t>
            </w:r>
            <w:r w:rsidRPr="009017FD">
              <w:rPr>
                <w:bCs/>
                <w:color w:val="FF0000"/>
              </w:rPr>
              <w:t>)</w:t>
            </w:r>
          </w:p>
          <w:p w:rsidR="003B2ABC" w:rsidRPr="00BE4AA8" w:rsidRDefault="009C24C5" w:rsidP="009017FD">
            <w:pPr>
              <w:spacing w:before="120" w:after="120"/>
              <w:ind w:left="567"/>
            </w:pPr>
            <w:hyperlink r:id="rId11" w:history="1">
              <w:r w:rsidR="004724E8" w:rsidRPr="00BE4AA8">
                <w:rPr>
                  <w:rStyle w:val="Hypertextovodkaz"/>
                  <w:bCs/>
                </w:rPr>
                <w:t>https://eur-lex.europa.eu/legal-content/CS/TXT/PDF/?uri=CELEX:32021R0016&amp;from=CS</w:t>
              </w:r>
            </w:hyperlink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F1F06" w:rsidRPr="009017FD" w:rsidRDefault="004724E8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55 odst. 3</w:t>
            </w:r>
          </w:p>
          <w:p w:rsidR="00761ACC" w:rsidRPr="009017FD" w:rsidRDefault="00761ACC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Databáze Unie pro veterinární léčivé přípravky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3.   Komise přijme prostřednictvím prováděcích aktů nezbytná opatření a praktické kroky, které stanoví: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 xml:space="preserve"> a)  technické specifikace databáze přípravků včetně mechanismu pro elektronickou výměnu údajů pro účely výměny informací se stávajícími vnitrostátními systémy a formátu elektronického předkládání údajů;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b)  praktická opatření k provozu databáze přípravků, zejména s cílem zajistit ochranu důvěrných informací obchodní povahy a zabezpečení výměny informací;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c)  podrobné vymezení informací, které mají být začleněny, aktualizovány a sdílení v databázi přípravků, a subjektů k tomu oprávněných;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d)  pohotovostní opatření, která se použijí v případě, že je některá z funkcí databáze přípravků nedostupná;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 xml:space="preserve">e)  v případě nutnosti údaje, které mají být navíc doplněny do databáze přípravků k informacím uvedeným v odstavci 2 tohoto </w:t>
            </w:r>
            <w:r w:rsidRPr="009017FD">
              <w:rPr>
                <w:sz w:val="20"/>
                <w:szCs w:val="20"/>
              </w:rPr>
              <w:lastRenderedPageBreak/>
              <w:t>článku.</w:t>
            </w:r>
          </w:p>
          <w:p w:rsidR="00761ACC" w:rsidRPr="009017FD" w:rsidRDefault="00761ACC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 xml:space="preserve"> Tyto prováděcí akty se přijímají přezkumným postupem podle čl. 145 odst. 2.</w:t>
            </w:r>
          </w:p>
        </w:tc>
      </w:tr>
      <w:tr w:rsidR="007F1F06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4E8" w:rsidRPr="009017FD" w:rsidRDefault="004724E8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lastRenderedPageBreak/>
              <w:t xml:space="preserve">Prováděcí nařízení Komise (EU) </w:t>
            </w:r>
            <w:r w:rsidRPr="009017FD">
              <w:rPr>
                <w:b/>
                <w:bCs/>
                <w:color w:val="FF0000"/>
              </w:rPr>
              <w:t>2021/17</w:t>
            </w:r>
            <w:r w:rsidRPr="009017FD">
              <w:rPr>
                <w:bCs/>
                <w:color w:val="FF0000"/>
              </w:rPr>
              <w:t xml:space="preserve">, ze dne 8. ledna 2021 o stanovení seznamu změn, které </w:t>
            </w:r>
            <w:r w:rsidRPr="009017FD">
              <w:rPr>
                <w:b/>
                <w:bCs/>
                <w:color w:val="FF0000"/>
              </w:rPr>
              <w:t>nevyžadují posouzení, podle nařízení Evropského parlamentu a Rady (EU) 2019/6</w:t>
            </w:r>
          </w:p>
          <w:p w:rsidR="0075135C" w:rsidRPr="00BE4AA8" w:rsidRDefault="009C24C5" w:rsidP="009017FD">
            <w:pPr>
              <w:spacing w:before="120" w:after="120"/>
              <w:ind w:left="567"/>
              <w:rPr>
                <w:bCs/>
                <w:color w:val="0563C1"/>
                <w:u w:val="single"/>
              </w:rPr>
            </w:pPr>
            <w:hyperlink r:id="rId12" w:history="1">
              <w:r w:rsidR="004724E8" w:rsidRPr="00BE4AA8">
                <w:rPr>
                  <w:rStyle w:val="Hypertextovodkaz"/>
                  <w:bCs/>
                </w:rPr>
                <w:t>https://eur-lex.europa.eu/legal-content/CS/TXT/PDF/?uri=CELEX:32021R0017&amp;from=CS</w:t>
              </w:r>
            </w:hyperlink>
          </w:p>
        </w:tc>
        <w:tc>
          <w:tcPr>
            <w:tcW w:w="549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F1F06" w:rsidRPr="009017FD" w:rsidRDefault="004724E8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60 odst. 1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Změny registrací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1.   Komise prostřednictvím prováděcích aktů stanoví seznam změn, které nevyžadují posouzení. Tyto prováděcí akty se přijímají přezkumným postupem podle čl. 145 odst. 2.</w:t>
            </w:r>
          </w:p>
        </w:tc>
      </w:tr>
      <w:tr w:rsidR="007F1F06" w:rsidTr="00743434">
        <w:trPr>
          <w:trHeight w:val="63"/>
        </w:trPr>
        <w:tc>
          <w:tcPr>
            <w:tcW w:w="72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CD1" w:rsidRPr="009017FD" w:rsidRDefault="00A76CD1" w:rsidP="009017FD">
            <w:pPr>
              <w:spacing w:before="120" w:after="120"/>
              <w:ind w:left="567"/>
            </w:pPr>
          </w:p>
        </w:tc>
        <w:tc>
          <w:tcPr>
            <w:tcW w:w="5498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7F1F06" w:rsidRPr="009017FD" w:rsidRDefault="007F1F06" w:rsidP="009017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F1F06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A23" w:rsidRPr="009076FC" w:rsidRDefault="00662A23" w:rsidP="009017FD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Nařízení Komise v přenesené pravomoci (EU) </w:t>
            </w:r>
            <w:r w:rsidRPr="009017FD">
              <w:rPr>
                <w:b/>
                <w:bCs/>
                <w:color w:val="FF0000"/>
              </w:rPr>
              <w:t>2021/577</w:t>
            </w:r>
            <w:r w:rsidRPr="009017FD">
              <w:rPr>
                <w:bCs/>
                <w:color w:val="FF0000"/>
              </w:rPr>
              <w:t xml:space="preserve"> ze dne 29. ledna 2021, kterým se doplňuje nařízení Evropského parlamentu a Rady (EU) 2019/6, pokud jde o obsah a formát informací nezbytných pro použití čl. 112 odst. 4 a čl. 115 odst. 5, jež mají být obsaženy v jednotném </w:t>
            </w:r>
            <w:r w:rsidRPr="009076FC">
              <w:rPr>
                <w:b/>
                <w:bCs/>
                <w:color w:val="FF0000"/>
              </w:rPr>
              <w:t>celoživotním identifikačním dokladu uvedeném v čl. 8 odst. 4 uvedeného nařízení</w:t>
            </w:r>
          </w:p>
          <w:p w:rsidR="00662A23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3" w:history="1">
              <w:r w:rsidR="00662A23" w:rsidRPr="009017FD">
                <w:rPr>
                  <w:rStyle w:val="Hypertextovodkaz"/>
                  <w:bCs/>
                </w:rPr>
                <w:t>https://eur-lex.europa.eu/legal-content/CS/TXT/PDF/?uri=CELEX:32021R0577&amp;from=CS</w:t>
              </w:r>
            </w:hyperlink>
          </w:p>
          <w:p w:rsidR="00CF508A" w:rsidRPr="009017FD" w:rsidRDefault="00CF508A" w:rsidP="009017FD">
            <w:pPr>
              <w:spacing w:before="120" w:after="120"/>
              <w:ind w:left="567"/>
              <w:rPr>
                <w:color w:val="00B050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1F06" w:rsidRPr="009017FD" w:rsidRDefault="00BB1ACD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109 odst. 1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Povinnosti vést záznamy pro koňovité</w:t>
            </w:r>
          </w:p>
          <w:p w:rsidR="006D26AB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1.   Komise v souladu s článkem 147 přijme akty v přenesené pravomoci, jimiž doplní toto nařízení, pokud jde o obsah a formu informací nezbytných pro použití čl. 112 odst. 4 a čl. 115 odst. 5 a jež má obsahovat jednotný celoživotní identifikační doklad pro koňovité uvedený v čl. 8 odst. 4.</w:t>
            </w:r>
          </w:p>
          <w:p w:rsidR="00BE4AA8" w:rsidRPr="009017FD" w:rsidRDefault="00BE4AA8" w:rsidP="009017F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E4AA8">
              <w:rPr>
                <w:i/>
                <w:sz w:val="20"/>
                <w:szCs w:val="20"/>
              </w:rPr>
              <w:t>čl. 8 odst. 4: 4. Odstavec 3 tohoto článku se nepoužije na veterinární léčivé přípravky určené pro koňovité, která byla v jednotném celoživotním identifikačním dokladu uvedeném v čl. 114 odst. 1 písm. c) nařízení (EU) 2016/429 a ve všech aktech přijatých na jeho základě prohlášena za zvířata, jež nejsou určena k poražení pro lidskou spotřebu, přičemž léčivé látky obsažené v uvedených veterinárních léčivých přípravcích nejsou v souladu s nařízením (ES) č. 470/2009 a s veškerými akty přijatými na jeho základě povoleny.)</w:t>
            </w:r>
          </w:p>
        </w:tc>
      </w:tr>
      <w:tr w:rsidR="00926065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A23" w:rsidRPr="009017FD" w:rsidRDefault="00662A23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Nařízení Komise v přenesené pravomoci (EU) 2021/578 ze dne 29. ledna 2021, kterým se doplňuje nařízení Evropského parlamentu a Rady (EU) 2019/6, pokud jde o </w:t>
            </w:r>
            <w:r w:rsidRPr="009076FC">
              <w:rPr>
                <w:b/>
                <w:bCs/>
                <w:color w:val="FF0000"/>
              </w:rPr>
              <w:t>požadavky na shromažďování údajů o objemu prodeje a o používání antimikrobních léčivých přípravků u zvířat</w:t>
            </w:r>
          </w:p>
          <w:p w:rsidR="00662A23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4" w:history="1">
              <w:r w:rsidR="00662A23" w:rsidRPr="009017FD">
                <w:rPr>
                  <w:rStyle w:val="Hypertextovodkaz"/>
                  <w:bCs/>
                </w:rPr>
                <w:t>https://eur-lex.europa.eu/legal-content/CS/TXT/PDF/?uri=CELEX:32021R0578&amp;from=CS</w:t>
              </w:r>
            </w:hyperlink>
          </w:p>
          <w:p w:rsidR="00B6548E" w:rsidRPr="009017FD" w:rsidRDefault="00B6548E" w:rsidP="009017FD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6065" w:rsidRPr="009017FD" w:rsidRDefault="00BB1ACD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lastRenderedPageBreak/>
              <w:t>čl. 57 odst. 3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Shromažďování údajů o antimikrobních léčivých přípravcích používaných u zvířat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lastRenderedPageBreak/>
              <w:t>3.   Komise přijme akty v přenesené pravomoci v souladu s článkem 147, jimiž doplní tento článek, pokud jde o stanovení požadavků týkajících se: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a)  druhů antimikrobních léčivých přípravků používaných u zvířat, u nichž se musí shromažďovat údaje;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b)  prokazování kvality, které členské státy a agentura zavedou s cílem zajistit kvalitu a porovnatelnost údajů; a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c)  pravidel pro metody shromažďování údajů o používání antimikrobních léčivých přípravků používaných u zvířat a také pro metodu předávání těchto údajů agentuře.</w:t>
            </w:r>
          </w:p>
        </w:tc>
      </w:tr>
      <w:tr w:rsidR="000F465A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ACD" w:rsidRPr="009017FD" w:rsidRDefault="00BB1ACD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lastRenderedPageBreak/>
              <w:t xml:space="preserve">Prováděcí nařízení Komise (EU) 2021/963 ze dne 10. června 2021, kterým se stanoví prováděcí pravidla k nařízením Evropského parlamentu a Rady (EU) </w:t>
            </w:r>
            <w:r w:rsidRPr="009076FC">
              <w:rPr>
                <w:b/>
                <w:bCs/>
                <w:color w:val="FF0000"/>
              </w:rPr>
              <w:t>2016/429, (EU) 2016/1012 a (EU) 2019/6, pokud jde o identifikaci a evidenci koňovitých, a kterým se stanoví vzorové identifikační doklady pro uvedená zvířata</w:t>
            </w:r>
          </w:p>
          <w:p w:rsidR="00BB1ACD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5" w:history="1">
              <w:r w:rsidR="00BB1ACD" w:rsidRPr="009017FD">
                <w:rPr>
                  <w:rStyle w:val="Hypertextovodkaz"/>
                  <w:bCs/>
                </w:rPr>
                <w:t>https://eur-lex.europa.eu/legal-content/CS/TXT/PDF/?uri=CELEX:32021R0963&amp;from=CS</w:t>
              </w:r>
            </w:hyperlink>
          </w:p>
          <w:p w:rsidR="000F465A" w:rsidRPr="009017FD" w:rsidRDefault="000F465A" w:rsidP="009017FD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465A" w:rsidRPr="009017FD" w:rsidRDefault="00BB1ACD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109 odst. 2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Povinnosti vést záznamy pro koňovité</w:t>
            </w:r>
          </w:p>
          <w:p w:rsidR="006D26AB" w:rsidRPr="009017FD" w:rsidRDefault="006D26AB" w:rsidP="009017FD">
            <w:pPr>
              <w:spacing w:before="120" w:after="120"/>
              <w:rPr>
                <w:color w:val="7030A0"/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2.   Komise prostřednictvím prováděcích aktů stanoví vzorové formuláře pro vložení informací nezbytných pro použití čl. 112 odst. 4 a čl. 115 odst. 5, a jež mají obsahovat jednotný celoživotní identifikační doklad pro koňovité uvedený v čl. 8 odst. 4. Tyto prováděcí akty se přijímají přezkumným postupem podle čl. 145 odst. 2.</w:t>
            </w:r>
          </w:p>
        </w:tc>
      </w:tr>
      <w:tr w:rsidR="003A0BF9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1C1F" w:rsidRPr="009076FC" w:rsidRDefault="004D1C1F" w:rsidP="009017FD">
            <w:pPr>
              <w:spacing w:before="120" w:after="120" w:line="252" w:lineRule="auto"/>
              <w:ind w:left="567"/>
              <w:rPr>
                <w:b/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Prováděcí nařízení Komise (EU) 2021/1248 ze dne 29. července 2021 o opatřeních pro správnou </w:t>
            </w:r>
            <w:r w:rsidRPr="009076FC">
              <w:rPr>
                <w:b/>
                <w:bCs/>
                <w:color w:val="FF0000"/>
              </w:rPr>
              <w:t>distribuční praxi veterinárních léčivých přípravků v souladu s nařízením Evropského parlamentu a Rady (EU) 2019/6</w:t>
            </w:r>
          </w:p>
          <w:p w:rsidR="003A0BF9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6" w:history="1">
              <w:r w:rsidR="004D1C1F" w:rsidRPr="009017FD">
                <w:rPr>
                  <w:rStyle w:val="Hypertextovodkaz"/>
                  <w:bCs/>
                </w:rPr>
                <w:t>https://eur-lex.europa.eu/legal-content/CS/TXT/PDF/?uri=CELEX:32021R1248&amp;from=CS</w:t>
              </w:r>
            </w:hyperlink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0BF9" w:rsidRPr="009017FD" w:rsidRDefault="00534B3E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99 odst. 6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Povolení k velkoobchodní distribuci</w:t>
            </w:r>
          </w:p>
          <w:p w:rsidR="006D26AB" w:rsidRPr="009017FD" w:rsidRDefault="006D26AB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6.   Komise prostřednictvím prováděcích aktů přijme opatření pro správnou distribuční praxi veterinárních léčivých přípravků. Tyto prováděcí akty se přijímají přezkumným postupem podle čl. 145 odst. 2.</w:t>
            </w:r>
          </w:p>
        </w:tc>
      </w:tr>
      <w:tr w:rsidR="00CA5EAA" w:rsidTr="006F2C68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1C1F" w:rsidRPr="009017FD" w:rsidRDefault="004D1C1F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Prováděcí nařízení Komise (EU) 2021/1280 ze dne 2. srpna 2021 o opatřeních pro správnou </w:t>
            </w:r>
            <w:r w:rsidRPr="009076FC">
              <w:rPr>
                <w:b/>
                <w:bCs/>
                <w:color w:val="FF0000"/>
              </w:rPr>
              <w:t>distribuční praxi léčivých látek používaných jako výchozí suroviny ve veterinárních léčivých přípravcích v souladu s nařízením Evropského parlamentu a Rady (EU) 2019/6</w:t>
            </w:r>
          </w:p>
          <w:p w:rsidR="00CA5EAA" w:rsidRPr="009017FD" w:rsidRDefault="009C24C5" w:rsidP="009017FD">
            <w:pPr>
              <w:spacing w:before="120" w:after="120"/>
              <w:ind w:left="567"/>
            </w:pPr>
            <w:hyperlink r:id="rId17" w:history="1">
              <w:r w:rsidR="004D1C1F" w:rsidRPr="009017FD">
                <w:rPr>
                  <w:rStyle w:val="Hypertextovodkaz"/>
                  <w:bCs/>
                </w:rPr>
                <w:t>https://eur-lex.europa.eu/legal-content/CS/TXT/PDF/?uri=CELEX:32021R1280&amp;from=CS</w:t>
              </w:r>
            </w:hyperlink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A5EAA" w:rsidRPr="009017FD" w:rsidRDefault="00534B3E" w:rsidP="009017FD">
            <w:pPr>
              <w:spacing w:before="120" w:after="120"/>
              <w:rPr>
                <w:b/>
                <w:bCs/>
                <w:iCs/>
                <w:sz w:val="20"/>
                <w:szCs w:val="20"/>
              </w:rPr>
            </w:pPr>
            <w:r w:rsidRPr="009017FD">
              <w:rPr>
                <w:b/>
                <w:bCs/>
                <w:iCs/>
                <w:sz w:val="20"/>
                <w:szCs w:val="20"/>
              </w:rPr>
              <w:lastRenderedPageBreak/>
              <w:t>čl. 95 odst. 8</w:t>
            </w:r>
          </w:p>
          <w:p w:rsidR="006D26AB" w:rsidRPr="009017FD" w:rsidRDefault="006D26AB" w:rsidP="009017FD">
            <w:pPr>
              <w:spacing w:before="120" w:after="120"/>
              <w:rPr>
                <w:b/>
                <w:bCs/>
                <w:iCs/>
                <w:sz w:val="20"/>
                <w:szCs w:val="20"/>
              </w:rPr>
            </w:pPr>
            <w:r w:rsidRPr="009017FD">
              <w:rPr>
                <w:b/>
                <w:bCs/>
                <w:iCs/>
                <w:sz w:val="20"/>
                <w:szCs w:val="20"/>
              </w:rPr>
              <w:t>Dovozci, výrobci a distributoři léčivých látek usazení v Unii</w:t>
            </w:r>
          </w:p>
          <w:p w:rsidR="006D26AB" w:rsidRPr="009017FD" w:rsidRDefault="006D26AB" w:rsidP="009017FD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9017FD">
              <w:rPr>
                <w:bCs/>
                <w:iCs/>
                <w:sz w:val="20"/>
                <w:szCs w:val="20"/>
              </w:rPr>
              <w:t xml:space="preserve">8.   Komise prostřednictvím prováděcích aktů přijme opatření pro správnou distribuční praxi léčivých látek používaných jako </w:t>
            </w:r>
            <w:r w:rsidRPr="009017FD">
              <w:rPr>
                <w:bCs/>
                <w:iCs/>
                <w:sz w:val="20"/>
                <w:szCs w:val="20"/>
              </w:rPr>
              <w:lastRenderedPageBreak/>
              <w:t>výchozí suroviny ve veterinárních léčivých přípravcích. Tyto prováděcí akty se přijímají přezkumným postupem podle čl. 145 odst. 2.</w:t>
            </w:r>
          </w:p>
        </w:tc>
      </w:tr>
      <w:tr w:rsidR="00C56D8B" w:rsidTr="006F2C68">
        <w:trPr>
          <w:trHeight w:val="112"/>
        </w:trPr>
        <w:tc>
          <w:tcPr>
            <w:tcW w:w="727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D1C1F" w:rsidRPr="009017FD" w:rsidRDefault="004D1C1F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lastRenderedPageBreak/>
              <w:t xml:space="preserve">Prováděcí nařízení Komise (EU) 2021/1281 ze dne 2. srpna 2021, kterým se stanoví pravidla pro uplatňování nařízení Evropského parlamentu a Rady (EU) 2019/6, pokud jde o </w:t>
            </w:r>
            <w:r w:rsidRPr="009076FC">
              <w:rPr>
                <w:b/>
                <w:bCs/>
                <w:color w:val="FF0000"/>
              </w:rPr>
              <w:t xml:space="preserve">správnou </w:t>
            </w:r>
            <w:proofErr w:type="spellStart"/>
            <w:r w:rsidRPr="009076FC">
              <w:rPr>
                <w:b/>
                <w:bCs/>
                <w:color w:val="FF0000"/>
              </w:rPr>
              <w:t>farmakovigilanční</w:t>
            </w:r>
            <w:proofErr w:type="spellEnd"/>
            <w:r w:rsidRPr="009076FC">
              <w:rPr>
                <w:b/>
                <w:bCs/>
                <w:color w:val="FF0000"/>
              </w:rPr>
              <w:t xml:space="preserve"> praxi a formát, obsah a shrnutí základního dokumentu </w:t>
            </w:r>
            <w:proofErr w:type="spellStart"/>
            <w:r w:rsidRPr="009076FC">
              <w:rPr>
                <w:b/>
                <w:bCs/>
                <w:color w:val="FF0000"/>
              </w:rPr>
              <w:t>farmakovigilančního</w:t>
            </w:r>
            <w:proofErr w:type="spellEnd"/>
            <w:r w:rsidRPr="009076FC">
              <w:rPr>
                <w:b/>
                <w:bCs/>
                <w:color w:val="FF0000"/>
              </w:rPr>
              <w:t xml:space="preserve"> systému pro veterinární léčivé přípravky</w:t>
            </w:r>
          </w:p>
          <w:p w:rsidR="004D1C1F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8" w:history="1">
              <w:r w:rsidR="004D1C1F" w:rsidRPr="009017FD">
                <w:rPr>
                  <w:rStyle w:val="Hypertextovodkaz"/>
                  <w:bCs/>
                </w:rPr>
                <w:t>https://eur-lex.europa.eu/legal-content/CS/TXT/PDF/?uri=CELEX:32021R1281&amp;from=CS</w:t>
              </w:r>
            </w:hyperlink>
          </w:p>
          <w:p w:rsidR="002E404C" w:rsidRPr="009017FD" w:rsidRDefault="002E404C" w:rsidP="009017FD">
            <w:pPr>
              <w:spacing w:before="120" w:after="120"/>
              <w:ind w:left="567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2" w:space="0" w:color="auto"/>
            </w:tcBorders>
          </w:tcPr>
          <w:p w:rsidR="00C56D8B" w:rsidRPr="009017FD" w:rsidRDefault="00534B3E" w:rsidP="009017FD">
            <w:pPr>
              <w:spacing w:before="120" w:after="120"/>
              <w:ind w:left="34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 xml:space="preserve">čl. 77 odst. 6 </w:t>
            </w:r>
          </w:p>
          <w:p w:rsidR="006D26AB" w:rsidRPr="009017FD" w:rsidRDefault="006D26AB" w:rsidP="009017FD">
            <w:pPr>
              <w:spacing w:before="120" w:after="120"/>
              <w:ind w:left="34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 xml:space="preserve">Povinnosti držitele rozhodnutí o registraci v rámci </w:t>
            </w:r>
            <w:proofErr w:type="spellStart"/>
            <w:r w:rsidRPr="009017FD">
              <w:rPr>
                <w:b/>
                <w:sz w:val="20"/>
                <w:szCs w:val="20"/>
              </w:rPr>
              <w:t>farmakovigilance</w:t>
            </w:r>
            <w:proofErr w:type="spellEnd"/>
          </w:p>
          <w:p w:rsidR="006D26AB" w:rsidRPr="009017FD" w:rsidRDefault="009017FD" w:rsidP="009017FD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 xml:space="preserve">6.   Komise prostřednictvím prováděcích aktů přijme nezbytná opatření týkající se správné </w:t>
            </w:r>
            <w:proofErr w:type="spellStart"/>
            <w:r w:rsidRPr="009017FD">
              <w:rPr>
                <w:sz w:val="20"/>
                <w:szCs w:val="20"/>
              </w:rPr>
              <w:t>farmakovigilanční</w:t>
            </w:r>
            <w:proofErr w:type="spellEnd"/>
            <w:r w:rsidRPr="009017FD">
              <w:rPr>
                <w:sz w:val="20"/>
                <w:szCs w:val="20"/>
              </w:rPr>
              <w:t xml:space="preserve"> praxe pro veterinární léčivé přípravky a také formátu a obsahu základního dokumentu </w:t>
            </w:r>
            <w:proofErr w:type="spellStart"/>
            <w:r w:rsidRPr="009017FD">
              <w:rPr>
                <w:sz w:val="20"/>
                <w:szCs w:val="20"/>
              </w:rPr>
              <w:t>farmakovigilančního</w:t>
            </w:r>
            <w:proofErr w:type="spellEnd"/>
            <w:r w:rsidRPr="009017FD">
              <w:rPr>
                <w:sz w:val="20"/>
                <w:szCs w:val="20"/>
              </w:rPr>
              <w:t xml:space="preserve"> systému a jeho shrnutí. Tyto prováděcí akty se přijímají přezkumným postupem podle čl. 145 odst. 2.</w:t>
            </w:r>
          </w:p>
        </w:tc>
      </w:tr>
      <w:tr w:rsidR="007F1F06" w:rsidTr="00743434"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2924" w:rsidRPr="009017FD" w:rsidRDefault="006A2924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Nařízení Komise v přenesené pravomoci (EU) 2021/1760 ze dne 26. května 2021, kterým se doplňuje nařízení Evropského parlamentu a Rady (EU) 2019/6 stanovením kritérií pro </w:t>
            </w:r>
            <w:r w:rsidRPr="009076FC">
              <w:rPr>
                <w:b/>
                <w:bCs/>
                <w:color w:val="FF0000"/>
              </w:rPr>
              <w:t xml:space="preserve">určení </w:t>
            </w:r>
            <w:proofErr w:type="spellStart"/>
            <w:r w:rsidRPr="009076FC">
              <w:rPr>
                <w:b/>
                <w:bCs/>
                <w:color w:val="FF0000"/>
              </w:rPr>
              <w:t>antimikrobik</w:t>
            </w:r>
            <w:proofErr w:type="spellEnd"/>
            <w:r w:rsidRPr="009076FC">
              <w:rPr>
                <w:b/>
                <w:bCs/>
                <w:color w:val="FF0000"/>
              </w:rPr>
              <w:t>, jež mají být vyhrazena k léčbě určitých infekcí u lidí</w:t>
            </w:r>
          </w:p>
          <w:p w:rsidR="006A2924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19" w:history="1">
              <w:r w:rsidR="006A2924" w:rsidRPr="009017FD">
                <w:rPr>
                  <w:rStyle w:val="Hypertextovodkaz"/>
                  <w:bCs/>
                </w:rPr>
                <w:t>https://eur-lex.europa.eu/legal-content/CS/TXT/PDF/?uri=CELEX:32021R1760&amp;from=CS</w:t>
              </w:r>
            </w:hyperlink>
          </w:p>
          <w:p w:rsidR="00930BF7" w:rsidRPr="009017FD" w:rsidRDefault="00930BF7" w:rsidP="009017FD">
            <w:pPr>
              <w:spacing w:before="120" w:after="120"/>
              <w:ind w:left="567"/>
              <w:rPr>
                <w:bCs/>
                <w:color w:val="0070C0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3921A0" w:rsidRPr="009017FD" w:rsidRDefault="00534B3E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37 odst. 4</w:t>
            </w:r>
          </w:p>
          <w:p w:rsidR="009017FD" w:rsidRPr="009017FD" w:rsidRDefault="009017FD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Rozhodnutí o zamítnutí registrace</w:t>
            </w:r>
          </w:p>
          <w:p w:rsidR="009017FD" w:rsidRPr="009017FD" w:rsidRDefault="009017FD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 xml:space="preserve">4.   Komise přijme akty v přenesené pravomoci v souladu s článkem 147, jimž doplní toto nařízení stanovením kritérií pro určení </w:t>
            </w:r>
            <w:proofErr w:type="spellStart"/>
            <w:r w:rsidRPr="009017FD">
              <w:rPr>
                <w:sz w:val="20"/>
                <w:szCs w:val="20"/>
              </w:rPr>
              <w:t>antimikrobik</w:t>
            </w:r>
            <w:proofErr w:type="spellEnd"/>
            <w:r w:rsidRPr="009017FD">
              <w:rPr>
                <w:sz w:val="20"/>
                <w:szCs w:val="20"/>
              </w:rPr>
              <w:t xml:space="preserve">, která mají být vyhrazena k léčbě určitých infekcí u lidí s cílem zachovat účinnost těchto </w:t>
            </w:r>
            <w:proofErr w:type="spellStart"/>
            <w:r w:rsidRPr="009017FD">
              <w:rPr>
                <w:sz w:val="20"/>
                <w:szCs w:val="20"/>
              </w:rPr>
              <w:t>antimikrobik</w:t>
            </w:r>
            <w:proofErr w:type="spellEnd"/>
            <w:r w:rsidRPr="009017FD">
              <w:rPr>
                <w:sz w:val="20"/>
                <w:szCs w:val="20"/>
              </w:rPr>
              <w:t>.</w:t>
            </w:r>
          </w:p>
        </w:tc>
      </w:tr>
      <w:tr w:rsidR="007F1F06" w:rsidTr="0073352E">
        <w:tc>
          <w:tcPr>
            <w:tcW w:w="72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A2924" w:rsidRPr="009017FD" w:rsidRDefault="006A2924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bCs/>
                <w:color w:val="FF0000"/>
              </w:rPr>
              <w:t xml:space="preserve">Prováděcí nařízení Komise (EU) 2021/1904 ze dne 29. října 2021, kterým se přijímá </w:t>
            </w:r>
            <w:r w:rsidRPr="009076FC">
              <w:rPr>
                <w:b/>
                <w:bCs/>
                <w:color w:val="FF0000"/>
              </w:rPr>
              <w:t>design společného loga pro maloobchodní prodej veterinárních léčivých přípravků na dálku</w:t>
            </w:r>
          </w:p>
          <w:p w:rsidR="006A2924" w:rsidRPr="009017FD" w:rsidRDefault="009C24C5" w:rsidP="009017FD">
            <w:pPr>
              <w:spacing w:before="120" w:after="120"/>
              <w:ind w:left="567"/>
              <w:rPr>
                <w:bCs/>
              </w:rPr>
            </w:pPr>
            <w:hyperlink r:id="rId20" w:history="1">
              <w:r w:rsidR="006A2924" w:rsidRPr="009017FD">
                <w:rPr>
                  <w:rStyle w:val="Hypertextovodkaz"/>
                  <w:bCs/>
                </w:rPr>
                <w:t>https://eur-lex.europa.eu/legal-content/CS/TXT/PDF/?uri=CELEX:32021R1904&amp;from=CS</w:t>
              </w:r>
            </w:hyperlink>
          </w:p>
          <w:p w:rsidR="007F1F06" w:rsidRPr="009017FD" w:rsidRDefault="007F1F06" w:rsidP="009017FD">
            <w:pPr>
              <w:spacing w:before="120" w:after="120"/>
              <w:ind w:left="567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7F1F06" w:rsidRPr="009017FD" w:rsidRDefault="00534B3E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čl. 104 odst. 7</w:t>
            </w:r>
          </w:p>
          <w:p w:rsidR="009017FD" w:rsidRPr="009017FD" w:rsidRDefault="009017FD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9017FD">
              <w:rPr>
                <w:b/>
                <w:sz w:val="20"/>
                <w:szCs w:val="20"/>
              </w:rPr>
              <w:t>Maloobchodní prodej veterinárních léčivých přípravků na dálku</w:t>
            </w:r>
          </w:p>
          <w:p w:rsidR="009017FD" w:rsidRPr="009017FD" w:rsidRDefault="009017FD" w:rsidP="009017FD">
            <w:pPr>
              <w:spacing w:before="120" w:after="120"/>
              <w:rPr>
                <w:sz w:val="20"/>
                <w:szCs w:val="20"/>
              </w:rPr>
            </w:pPr>
            <w:r w:rsidRPr="009017FD">
              <w:rPr>
                <w:sz w:val="20"/>
                <w:szCs w:val="20"/>
              </w:rPr>
              <w:t>7.   Komise přijme prostřednictvím prováděcích aktů design společného loga uvedeného v odstavci 6 tohoto článku. Tyto prováděcí akty se přijímají přezkumným postupem podle čl. 145 odst. 2.</w:t>
            </w:r>
          </w:p>
        </w:tc>
      </w:tr>
      <w:tr w:rsidR="00697EB9" w:rsidTr="0073352E">
        <w:tc>
          <w:tcPr>
            <w:tcW w:w="72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97EB9" w:rsidRDefault="00697EB9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697EB9">
              <w:rPr>
                <w:bCs/>
                <w:color w:val="FF0000"/>
              </w:rPr>
              <w:t xml:space="preserve">Prováděcí nařízení Komise (EU) 2022/209 ze dne 16. února 2022, kterým se stanoví </w:t>
            </w:r>
            <w:r w:rsidRPr="00697EB9">
              <w:rPr>
                <w:b/>
                <w:bCs/>
                <w:color w:val="FF0000"/>
              </w:rPr>
              <w:t xml:space="preserve">formát údajů, které mají být shromažďovány a hlášeny pro určení objemu prodeje a používání antimikrobních léčivých přípravků u </w:t>
            </w:r>
            <w:r w:rsidRPr="00697EB9">
              <w:rPr>
                <w:b/>
                <w:bCs/>
                <w:color w:val="FF0000"/>
              </w:rPr>
              <w:lastRenderedPageBreak/>
              <w:t xml:space="preserve">zvířat </w:t>
            </w:r>
            <w:r w:rsidRPr="00697EB9">
              <w:rPr>
                <w:bCs/>
                <w:color w:val="FF0000"/>
              </w:rPr>
              <w:t>v souladu s nařízením Evropského parlamentu a Rady (EU) 2019/6</w:t>
            </w:r>
          </w:p>
          <w:p w:rsidR="00697EB9" w:rsidRDefault="00697EB9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hyperlink r:id="rId21" w:history="1">
              <w:r w:rsidRPr="00D874CA">
                <w:rPr>
                  <w:rStyle w:val="Hypertextovodkaz"/>
                  <w:bCs/>
                </w:rPr>
                <w:t>https://eur-lex.europa.eu/legal-content/CS/TXT/PDF/?uri=CELEX:32022R0209&amp;from=CS</w:t>
              </w:r>
            </w:hyperlink>
            <w:r>
              <w:rPr>
                <w:bCs/>
                <w:color w:val="FF0000"/>
              </w:rPr>
              <w:t xml:space="preserve"> </w:t>
            </w:r>
          </w:p>
          <w:p w:rsidR="00697EB9" w:rsidRPr="009017FD" w:rsidRDefault="00697EB9" w:rsidP="009017FD">
            <w:pPr>
              <w:spacing w:before="120" w:after="120"/>
              <w:ind w:left="567"/>
              <w:rPr>
                <w:bCs/>
                <w:color w:val="FF0000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697EB9" w:rsidRDefault="00697EB9" w:rsidP="009017F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čl. 57 odst. 4</w:t>
            </w:r>
          </w:p>
          <w:p w:rsidR="00697EB9" w:rsidRDefault="00697EB9" w:rsidP="009017FD">
            <w:pPr>
              <w:spacing w:before="120" w:after="120"/>
              <w:rPr>
                <w:b/>
                <w:sz w:val="20"/>
                <w:szCs w:val="20"/>
              </w:rPr>
            </w:pPr>
            <w:r w:rsidRPr="00697EB9">
              <w:rPr>
                <w:b/>
                <w:sz w:val="20"/>
                <w:szCs w:val="20"/>
              </w:rPr>
              <w:t xml:space="preserve">Shromažďování údajů o antimikrobních léčivých přípravcích </w:t>
            </w:r>
            <w:r w:rsidRPr="00697EB9">
              <w:rPr>
                <w:b/>
                <w:sz w:val="20"/>
                <w:szCs w:val="20"/>
              </w:rPr>
              <w:lastRenderedPageBreak/>
              <w:t>používaných u zvířat</w:t>
            </w:r>
          </w:p>
          <w:p w:rsidR="00697EB9" w:rsidRPr="009017FD" w:rsidRDefault="00697EB9" w:rsidP="00697EB9">
            <w:pPr>
              <w:spacing w:before="120" w:after="120"/>
              <w:rPr>
                <w:b/>
                <w:sz w:val="20"/>
                <w:szCs w:val="20"/>
              </w:rPr>
            </w:pPr>
            <w:r w:rsidRPr="00697EB9">
              <w:rPr>
                <w:sz w:val="20"/>
                <w:szCs w:val="20"/>
              </w:rPr>
              <w:t xml:space="preserve">4. </w:t>
            </w:r>
            <w:bookmarkStart w:id="1" w:name="_GoBack"/>
            <w:bookmarkEnd w:id="1"/>
            <w:r w:rsidRPr="00697EB9">
              <w:rPr>
                <w:sz w:val="20"/>
                <w:szCs w:val="20"/>
              </w:rPr>
              <w:t>Komise prostřednictvím prováděcích aktů stanoví formát údajů, které mají být shromažďovány v souladu s tímto článkem. Tyto prováděcí akty se přijímají přezkumným postupem podle čl. 145 odst. 2.</w:t>
            </w:r>
          </w:p>
        </w:tc>
      </w:tr>
      <w:tr w:rsidR="007F1F06" w:rsidTr="0073352E">
        <w:tc>
          <w:tcPr>
            <w:tcW w:w="72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017FD" w:rsidRPr="009017FD" w:rsidRDefault="009017FD" w:rsidP="009076FC">
            <w:pPr>
              <w:spacing w:before="120" w:after="120"/>
              <w:ind w:left="567"/>
              <w:rPr>
                <w:color w:val="FF0000"/>
              </w:rPr>
            </w:pPr>
            <w:r w:rsidRPr="00A24706">
              <w:rPr>
                <w:b/>
                <w:color w:val="FF0000"/>
              </w:rPr>
              <w:lastRenderedPageBreak/>
              <w:t xml:space="preserve">Oznámení Komise o </w:t>
            </w:r>
            <w:r w:rsidRPr="00A24706">
              <w:rPr>
                <w:b/>
                <w:bCs/>
                <w:color w:val="FF0000"/>
              </w:rPr>
              <w:t>registracích</w:t>
            </w:r>
            <w:r w:rsidRPr="009017FD">
              <w:rPr>
                <w:b/>
                <w:bCs/>
                <w:color w:val="FF0000"/>
              </w:rPr>
              <w:t xml:space="preserve"> veterinárních léčivých přípravků</w:t>
            </w:r>
            <w:r w:rsidRPr="009017FD">
              <w:rPr>
                <w:color w:val="FF0000"/>
              </w:rPr>
              <w:t xml:space="preserve">, u nichž pětiletá doba platnosti uplyne dnem začátku použitelnosti nařízení (EU) 2019/6 nebo po tomto dni </w:t>
            </w:r>
          </w:p>
          <w:p w:rsidR="009017FD" w:rsidRPr="009017FD" w:rsidRDefault="009017FD" w:rsidP="009076FC">
            <w:pPr>
              <w:spacing w:before="120" w:after="120"/>
              <w:ind w:left="567"/>
            </w:pPr>
            <w:r w:rsidRPr="009017FD">
              <w:t>2021/C 274/02</w:t>
            </w:r>
          </w:p>
          <w:p w:rsidR="00A76CD1" w:rsidRPr="00A24706" w:rsidRDefault="009C24C5" w:rsidP="009076FC">
            <w:pPr>
              <w:spacing w:before="120" w:after="120"/>
              <w:ind w:left="567"/>
              <w:rPr>
                <w:sz w:val="24"/>
                <w:szCs w:val="24"/>
              </w:rPr>
            </w:pPr>
            <w:hyperlink r:id="rId22" w:history="1">
              <w:r w:rsidR="009017FD" w:rsidRPr="00A24706">
                <w:rPr>
                  <w:rStyle w:val="Hypertextovodkaz"/>
                  <w:bCs/>
                </w:rPr>
                <w:t>https://eur-lex.europa.eu/legal-content/CS/TXT/PDF/?uri=CELEX:52021XC0709(02)&amp;from=CS</w:t>
              </w:r>
            </w:hyperlink>
          </w:p>
        </w:tc>
        <w:tc>
          <w:tcPr>
            <w:tcW w:w="54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1F06" w:rsidRPr="00291957" w:rsidRDefault="007F1F06" w:rsidP="00946393">
            <w:pPr>
              <w:rPr>
                <w:sz w:val="20"/>
                <w:szCs w:val="20"/>
              </w:rPr>
            </w:pPr>
          </w:p>
        </w:tc>
      </w:tr>
      <w:tr w:rsidR="007F1F06" w:rsidTr="0073352E">
        <w:tc>
          <w:tcPr>
            <w:tcW w:w="72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076FC" w:rsidRPr="009017FD" w:rsidRDefault="009076FC" w:rsidP="009076FC">
            <w:pPr>
              <w:spacing w:before="120" w:after="120"/>
              <w:ind w:left="567"/>
              <w:rPr>
                <w:bCs/>
                <w:color w:val="FF0000"/>
              </w:rPr>
            </w:pPr>
            <w:r w:rsidRPr="009017FD">
              <w:rPr>
                <w:color w:val="FF0000"/>
              </w:rPr>
              <w:t xml:space="preserve">Nařízení Komise v přenesené pravomoci (EU) 2021/2304 ze dne 18. října 2021, kterým se </w:t>
            </w:r>
            <w:r w:rsidRPr="00A24706">
              <w:rPr>
                <w:b/>
                <w:color w:val="FF0000"/>
              </w:rPr>
              <w:t xml:space="preserve">doplňuje nařízení Evropského parlamentu a Rady (EU) </w:t>
            </w:r>
            <w:r w:rsidRPr="00A24706">
              <w:rPr>
                <w:b/>
                <w:bCs/>
                <w:color w:val="FF0000"/>
              </w:rPr>
              <w:t>2018/848</w:t>
            </w:r>
            <w:r w:rsidRPr="00A24706">
              <w:rPr>
                <w:b/>
                <w:color w:val="FF0000"/>
              </w:rPr>
              <w:t xml:space="preserve"> o </w:t>
            </w:r>
            <w:r w:rsidRPr="00A24706">
              <w:rPr>
                <w:b/>
                <w:bCs/>
                <w:color w:val="FF0000"/>
              </w:rPr>
              <w:t>pravidla pro vydávání doplňkových certifikátů pro účely vývozu potvrzujících, že v ekologické produkci živočišných produktů nebyla použita antibiotika</w:t>
            </w:r>
          </w:p>
          <w:p w:rsidR="009076FC" w:rsidRPr="009017FD" w:rsidRDefault="009C24C5" w:rsidP="009076FC">
            <w:pPr>
              <w:spacing w:before="120" w:after="120"/>
              <w:ind w:left="567"/>
              <w:rPr>
                <w:bCs/>
              </w:rPr>
            </w:pPr>
            <w:hyperlink r:id="rId23" w:history="1">
              <w:r w:rsidR="009076FC" w:rsidRPr="009017FD">
                <w:rPr>
                  <w:rStyle w:val="Hypertextovodkaz"/>
                  <w:bCs/>
                </w:rPr>
                <w:t>https://eur-lex.europa.eu/legal-content/CS/TXT/PDF/?uri=CELEX:32021R2304&amp;from=CS</w:t>
              </w:r>
            </w:hyperlink>
          </w:p>
          <w:p w:rsidR="007F1F06" w:rsidRPr="00BF1C09" w:rsidRDefault="007F1F06" w:rsidP="009076FC">
            <w:pPr>
              <w:spacing w:before="120" w:after="120"/>
              <w:ind w:left="567"/>
              <w:rPr>
                <w:b/>
                <w:bCs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54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1F06" w:rsidRPr="00291957" w:rsidRDefault="007F1F06" w:rsidP="00946393">
            <w:pPr>
              <w:spacing w:before="120"/>
              <w:ind w:left="34"/>
              <w:rPr>
                <w:b/>
                <w:sz w:val="20"/>
                <w:szCs w:val="20"/>
              </w:rPr>
            </w:pPr>
          </w:p>
        </w:tc>
      </w:tr>
      <w:tr w:rsidR="00060B19" w:rsidTr="003F573C">
        <w:tc>
          <w:tcPr>
            <w:tcW w:w="1277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60B19" w:rsidRDefault="00060B19" w:rsidP="00060B19">
            <w:pPr>
              <w:spacing w:before="120" w:after="120"/>
              <w:ind w:left="567"/>
              <w:rPr>
                <w:b/>
                <w:color w:val="FF0000"/>
                <w:sz w:val="28"/>
                <w:szCs w:val="28"/>
              </w:rPr>
            </w:pPr>
            <w:r w:rsidRPr="00060B19">
              <w:rPr>
                <w:b/>
                <w:color w:val="FF0000"/>
                <w:sz w:val="28"/>
                <w:szCs w:val="28"/>
              </w:rPr>
              <w:t>Nařízení Evropského parlamentu a Rady (ES) č. 726/2004 ze dne 31. března 2004, kterým se stanovují postupy Unie pro registraci humánních léčivých přípravků a dozor nad nimi a kterým se zřizuje Evropská agentura pro léčivé přípravky</w:t>
            </w:r>
          </w:p>
          <w:p w:rsidR="00060B19" w:rsidRDefault="009C24C5" w:rsidP="00060B19">
            <w:pPr>
              <w:spacing w:before="120" w:after="120"/>
              <w:ind w:left="567"/>
              <w:rPr>
                <w:color w:val="FF0000"/>
              </w:rPr>
            </w:pPr>
            <w:hyperlink r:id="rId24" w:history="1">
              <w:r w:rsidR="00060B19" w:rsidRPr="00905B2B">
                <w:rPr>
                  <w:rStyle w:val="Hypertextovodkaz"/>
                </w:rPr>
                <w:t>https://eur-lex.europa.eu/legal-content/CS/TXT/?uri=CELEX%3A02004R0726-20220128&amp;qid=1644833356975</w:t>
              </w:r>
            </w:hyperlink>
            <w:r w:rsidR="00060B19">
              <w:rPr>
                <w:color w:val="FF0000"/>
              </w:rPr>
              <w:t xml:space="preserve"> </w:t>
            </w:r>
          </w:p>
          <w:p w:rsidR="00060B19" w:rsidRDefault="00060B19" w:rsidP="00060B19">
            <w:pPr>
              <w:ind w:left="567"/>
              <w:rPr>
                <w:i/>
                <w:color w:val="7030A0"/>
              </w:rPr>
            </w:pPr>
          </w:p>
          <w:p w:rsidR="00060B19" w:rsidRPr="00043FF2" w:rsidRDefault="00060B19" w:rsidP="00060B19">
            <w:pPr>
              <w:ind w:left="567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Stále upravuje některé aspekty činnosti </w:t>
            </w:r>
            <w:r w:rsidR="001B5DCA">
              <w:rPr>
                <w:i/>
                <w:color w:val="7030A0"/>
              </w:rPr>
              <w:t>EMA v rámci VLP</w:t>
            </w:r>
            <w:r w:rsidRPr="002D1EC5">
              <w:rPr>
                <w:i/>
                <w:color w:val="7030A0"/>
              </w:rPr>
              <w:t>.</w:t>
            </w:r>
            <w:r>
              <w:rPr>
                <w:i/>
                <w:color w:val="7030A0"/>
              </w:rPr>
              <w:t xml:space="preserve"> </w:t>
            </w:r>
          </w:p>
          <w:p w:rsidR="00060B19" w:rsidRPr="00291957" w:rsidRDefault="00060B19" w:rsidP="00060B19">
            <w:pPr>
              <w:spacing w:before="120"/>
              <w:ind w:left="34"/>
              <w:rPr>
                <w:b/>
                <w:sz w:val="20"/>
                <w:szCs w:val="20"/>
              </w:rPr>
            </w:pPr>
          </w:p>
        </w:tc>
      </w:tr>
    </w:tbl>
    <w:p w:rsidR="00044CFB" w:rsidRDefault="00044CFB" w:rsidP="006C40B1"/>
    <w:sectPr w:rsidR="00044CFB" w:rsidSect="007F1F06"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C5" w:rsidRDefault="009C24C5" w:rsidP="00360FAE">
      <w:pPr>
        <w:spacing w:after="0" w:line="240" w:lineRule="auto"/>
      </w:pPr>
      <w:r>
        <w:separator/>
      </w:r>
    </w:p>
  </w:endnote>
  <w:endnote w:type="continuationSeparator" w:id="0">
    <w:p w:rsidR="009C24C5" w:rsidRDefault="009C24C5" w:rsidP="003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018"/>
      <w:docPartObj>
        <w:docPartGallery w:val="Page Numbers (Bottom of Page)"/>
        <w:docPartUnique/>
      </w:docPartObj>
    </w:sdtPr>
    <w:sdtEndPr/>
    <w:sdtContent>
      <w:p w:rsidR="007F7ED8" w:rsidRDefault="007F7E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B9">
          <w:rPr>
            <w:noProof/>
          </w:rPr>
          <w:t>6</w:t>
        </w:r>
        <w:r>
          <w:fldChar w:fldCharType="end"/>
        </w:r>
      </w:p>
    </w:sdtContent>
  </w:sdt>
  <w:p w:rsidR="007F7ED8" w:rsidRDefault="007F7E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C5" w:rsidRDefault="009C24C5" w:rsidP="00360FAE">
      <w:pPr>
        <w:spacing w:after="0" w:line="240" w:lineRule="auto"/>
      </w:pPr>
      <w:r>
        <w:separator/>
      </w:r>
    </w:p>
  </w:footnote>
  <w:footnote w:type="continuationSeparator" w:id="0">
    <w:p w:rsidR="009C24C5" w:rsidRDefault="009C24C5" w:rsidP="0036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6"/>
    <w:rsid w:val="00005D2D"/>
    <w:rsid w:val="00012913"/>
    <w:rsid w:val="000219E4"/>
    <w:rsid w:val="00025006"/>
    <w:rsid w:val="00036FA3"/>
    <w:rsid w:val="000379B2"/>
    <w:rsid w:val="00043FF2"/>
    <w:rsid w:val="00044CFB"/>
    <w:rsid w:val="00060B19"/>
    <w:rsid w:val="000729C1"/>
    <w:rsid w:val="00074373"/>
    <w:rsid w:val="000824A6"/>
    <w:rsid w:val="0008302A"/>
    <w:rsid w:val="000863AE"/>
    <w:rsid w:val="000936F7"/>
    <w:rsid w:val="000B15C2"/>
    <w:rsid w:val="000B3180"/>
    <w:rsid w:val="000D31FC"/>
    <w:rsid w:val="000E0E4E"/>
    <w:rsid w:val="000E5C36"/>
    <w:rsid w:val="000E7C60"/>
    <w:rsid w:val="000F183A"/>
    <w:rsid w:val="000F465A"/>
    <w:rsid w:val="00114D23"/>
    <w:rsid w:val="001165EB"/>
    <w:rsid w:val="0015329B"/>
    <w:rsid w:val="00154658"/>
    <w:rsid w:val="0016749E"/>
    <w:rsid w:val="00170099"/>
    <w:rsid w:val="001705CB"/>
    <w:rsid w:val="001708E3"/>
    <w:rsid w:val="00196034"/>
    <w:rsid w:val="001A3EFB"/>
    <w:rsid w:val="001A4F4F"/>
    <w:rsid w:val="001B3AF5"/>
    <w:rsid w:val="001B5DCA"/>
    <w:rsid w:val="001C7066"/>
    <w:rsid w:val="001C708B"/>
    <w:rsid w:val="001D2764"/>
    <w:rsid w:val="001E3586"/>
    <w:rsid w:val="001F1117"/>
    <w:rsid w:val="001F2F59"/>
    <w:rsid w:val="00200513"/>
    <w:rsid w:val="002025FE"/>
    <w:rsid w:val="00221722"/>
    <w:rsid w:val="00237EFD"/>
    <w:rsid w:val="0024299B"/>
    <w:rsid w:val="0024642D"/>
    <w:rsid w:val="00291957"/>
    <w:rsid w:val="00292C1E"/>
    <w:rsid w:val="002961B8"/>
    <w:rsid w:val="00296548"/>
    <w:rsid w:val="002A6BF7"/>
    <w:rsid w:val="002B7F4E"/>
    <w:rsid w:val="002D1ABE"/>
    <w:rsid w:val="002D1EC5"/>
    <w:rsid w:val="002D205B"/>
    <w:rsid w:val="002E404C"/>
    <w:rsid w:val="002E523F"/>
    <w:rsid w:val="002E6AC6"/>
    <w:rsid w:val="002F514E"/>
    <w:rsid w:val="002F7E43"/>
    <w:rsid w:val="003060B5"/>
    <w:rsid w:val="00315EF4"/>
    <w:rsid w:val="003403A6"/>
    <w:rsid w:val="003507B7"/>
    <w:rsid w:val="003545E0"/>
    <w:rsid w:val="00360FAE"/>
    <w:rsid w:val="003616A8"/>
    <w:rsid w:val="0036787D"/>
    <w:rsid w:val="00370EDD"/>
    <w:rsid w:val="003725DC"/>
    <w:rsid w:val="00373C6B"/>
    <w:rsid w:val="00383398"/>
    <w:rsid w:val="00383F2D"/>
    <w:rsid w:val="003921A0"/>
    <w:rsid w:val="003A0709"/>
    <w:rsid w:val="003A0BF9"/>
    <w:rsid w:val="003A109B"/>
    <w:rsid w:val="003B2ABC"/>
    <w:rsid w:val="003C6B84"/>
    <w:rsid w:val="003E66D0"/>
    <w:rsid w:val="003F36F2"/>
    <w:rsid w:val="00402F1C"/>
    <w:rsid w:val="00412877"/>
    <w:rsid w:val="00414BEF"/>
    <w:rsid w:val="004179A6"/>
    <w:rsid w:val="00437003"/>
    <w:rsid w:val="00446BA2"/>
    <w:rsid w:val="004724E8"/>
    <w:rsid w:val="00482994"/>
    <w:rsid w:val="00483BA9"/>
    <w:rsid w:val="00485EFF"/>
    <w:rsid w:val="004900FC"/>
    <w:rsid w:val="00496F92"/>
    <w:rsid w:val="004A26D4"/>
    <w:rsid w:val="004C2C85"/>
    <w:rsid w:val="004D1C1F"/>
    <w:rsid w:val="004D5047"/>
    <w:rsid w:val="004E5C8E"/>
    <w:rsid w:val="005143F1"/>
    <w:rsid w:val="005159EB"/>
    <w:rsid w:val="00534B3E"/>
    <w:rsid w:val="00556A73"/>
    <w:rsid w:val="00567DF5"/>
    <w:rsid w:val="005825D6"/>
    <w:rsid w:val="00587B33"/>
    <w:rsid w:val="00595155"/>
    <w:rsid w:val="005A4DF2"/>
    <w:rsid w:val="005B0020"/>
    <w:rsid w:val="005C6648"/>
    <w:rsid w:val="005C66E8"/>
    <w:rsid w:val="005C7A53"/>
    <w:rsid w:val="005D28D3"/>
    <w:rsid w:val="005D3490"/>
    <w:rsid w:val="005D4409"/>
    <w:rsid w:val="005F0994"/>
    <w:rsid w:val="005F3D19"/>
    <w:rsid w:val="005F500D"/>
    <w:rsid w:val="005F6345"/>
    <w:rsid w:val="00613BB6"/>
    <w:rsid w:val="006158B3"/>
    <w:rsid w:val="00625D3F"/>
    <w:rsid w:val="006361C0"/>
    <w:rsid w:val="00641A5E"/>
    <w:rsid w:val="006436EB"/>
    <w:rsid w:val="00653A70"/>
    <w:rsid w:val="00662A23"/>
    <w:rsid w:val="006729B6"/>
    <w:rsid w:val="0069369A"/>
    <w:rsid w:val="00697EB9"/>
    <w:rsid w:val="00697F8A"/>
    <w:rsid w:val="006A2924"/>
    <w:rsid w:val="006C199A"/>
    <w:rsid w:val="006C366E"/>
    <w:rsid w:val="006C40B1"/>
    <w:rsid w:val="006D26AB"/>
    <w:rsid w:val="006D5C19"/>
    <w:rsid w:val="006E0EC2"/>
    <w:rsid w:val="006E1FF8"/>
    <w:rsid w:val="006F2785"/>
    <w:rsid w:val="006F2C68"/>
    <w:rsid w:val="006F6333"/>
    <w:rsid w:val="0071067C"/>
    <w:rsid w:val="00714BEF"/>
    <w:rsid w:val="00716BAC"/>
    <w:rsid w:val="0072227A"/>
    <w:rsid w:val="00727BD3"/>
    <w:rsid w:val="0073352E"/>
    <w:rsid w:val="00733618"/>
    <w:rsid w:val="00743434"/>
    <w:rsid w:val="007453BB"/>
    <w:rsid w:val="0075135C"/>
    <w:rsid w:val="00761ACC"/>
    <w:rsid w:val="00766F96"/>
    <w:rsid w:val="007759DA"/>
    <w:rsid w:val="00792039"/>
    <w:rsid w:val="00794D60"/>
    <w:rsid w:val="007B1604"/>
    <w:rsid w:val="007B1637"/>
    <w:rsid w:val="007D3B68"/>
    <w:rsid w:val="007D64FD"/>
    <w:rsid w:val="007E1E96"/>
    <w:rsid w:val="007E6E76"/>
    <w:rsid w:val="007F07F2"/>
    <w:rsid w:val="007F1BC0"/>
    <w:rsid w:val="007F1F06"/>
    <w:rsid w:val="007F21CE"/>
    <w:rsid w:val="007F7ED8"/>
    <w:rsid w:val="00852F3B"/>
    <w:rsid w:val="0086772B"/>
    <w:rsid w:val="00874574"/>
    <w:rsid w:val="00874616"/>
    <w:rsid w:val="00874882"/>
    <w:rsid w:val="00881922"/>
    <w:rsid w:val="00881CC5"/>
    <w:rsid w:val="008B0C9D"/>
    <w:rsid w:val="008B4972"/>
    <w:rsid w:val="008C54D6"/>
    <w:rsid w:val="008C74BE"/>
    <w:rsid w:val="008D00CF"/>
    <w:rsid w:val="008D1937"/>
    <w:rsid w:val="008D3B38"/>
    <w:rsid w:val="008E0017"/>
    <w:rsid w:val="008E171A"/>
    <w:rsid w:val="008E5635"/>
    <w:rsid w:val="009017FD"/>
    <w:rsid w:val="00901B1E"/>
    <w:rsid w:val="009076FC"/>
    <w:rsid w:val="00915807"/>
    <w:rsid w:val="0092140C"/>
    <w:rsid w:val="00926065"/>
    <w:rsid w:val="00930BF7"/>
    <w:rsid w:val="00940D28"/>
    <w:rsid w:val="00946393"/>
    <w:rsid w:val="00954892"/>
    <w:rsid w:val="00954A69"/>
    <w:rsid w:val="00956123"/>
    <w:rsid w:val="009571C7"/>
    <w:rsid w:val="00963626"/>
    <w:rsid w:val="00964C27"/>
    <w:rsid w:val="00972A8E"/>
    <w:rsid w:val="00995118"/>
    <w:rsid w:val="009A0D31"/>
    <w:rsid w:val="009A17A8"/>
    <w:rsid w:val="009A5011"/>
    <w:rsid w:val="009C24C5"/>
    <w:rsid w:val="009C47AF"/>
    <w:rsid w:val="009C69EC"/>
    <w:rsid w:val="009D5A12"/>
    <w:rsid w:val="009D6374"/>
    <w:rsid w:val="009D6DD7"/>
    <w:rsid w:val="00A0497F"/>
    <w:rsid w:val="00A06182"/>
    <w:rsid w:val="00A24706"/>
    <w:rsid w:val="00A333CC"/>
    <w:rsid w:val="00A40535"/>
    <w:rsid w:val="00A556E1"/>
    <w:rsid w:val="00A62E16"/>
    <w:rsid w:val="00A6791A"/>
    <w:rsid w:val="00A7059D"/>
    <w:rsid w:val="00A73D6C"/>
    <w:rsid w:val="00A76CD1"/>
    <w:rsid w:val="00AB47C6"/>
    <w:rsid w:val="00AB4BD6"/>
    <w:rsid w:val="00AB63BD"/>
    <w:rsid w:val="00AC7FCC"/>
    <w:rsid w:val="00AD7303"/>
    <w:rsid w:val="00B02E2A"/>
    <w:rsid w:val="00B07F70"/>
    <w:rsid w:val="00B14671"/>
    <w:rsid w:val="00B16199"/>
    <w:rsid w:val="00B170F7"/>
    <w:rsid w:val="00B217AC"/>
    <w:rsid w:val="00B30732"/>
    <w:rsid w:val="00B329DC"/>
    <w:rsid w:val="00B430AF"/>
    <w:rsid w:val="00B520DA"/>
    <w:rsid w:val="00B53C04"/>
    <w:rsid w:val="00B565DC"/>
    <w:rsid w:val="00B6548E"/>
    <w:rsid w:val="00BA082E"/>
    <w:rsid w:val="00BA5B0E"/>
    <w:rsid w:val="00BB0A5B"/>
    <w:rsid w:val="00BB1ACD"/>
    <w:rsid w:val="00BB30A8"/>
    <w:rsid w:val="00BB7F59"/>
    <w:rsid w:val="00BC1220"/>
    <w:rsid w:val="00BC3A0F"/>
    <w:rsid w:val="00BC6A47"/>
    <w:rsid w:val="00BD17C2"/>
    <w:rsid w:val="00BE4AA8"/>
    <w:rsid w:val="00BE4F35"/>
    <w:rsid w:val="00BE7712"/>
    <w:rsid w:val="00BF1C09"/>
    <w:rsid w:val="00BF75D8"/>
    <w:rsid w:val="00C07E96"/>
    <w:rsid w:val="00C2190C"/>
    <w:rsid w:val="00C22E22"/>
    <w:rsid w:val="00C31635"/>
    <w:rsid w:val="00C344B7"/>
    <w:rsid w:val="00C35316"/>
    <w:rsid w:val="00C37939"/>
    <w:rsid w:val="00C4263E"/>
    <w:rsid w:val="00C449F9"/>
    <w:rsid w:val="00C45072"/>
    <w:rsid w:val="00C5029A"/>
    <w:rsid w:val="00C56D8B"/>
    <w:rsid w:val="00C637CD"/>
    <w:rsid w:val="00C639EC"/>
    <w:rsid w:val="00C73F01"/>
    <w:rsid w:val="00C900DB"/>
    <w:rsid w:val="00C903EF"/>
    <w:rsid w:val="00C934B7"/>
    <w:rsid w:val="00CA387A"/>
    <w:rsid w:val="00CA5EAA"/>
    <w:rsid w:val="00CB1729"/>
    <w:rsid w:val="00CB7701"/>
    <w:rsid w:val="00CC35D1"/>
    <w:rsid w:val="00CC639A"/>
    <w:rsid w:val="00CC7F9D"/>
    <w:rsid w:val="00CD4B6E"/>
    <w:rsid w:val="00CD7FF9"/>
    <w:rsid w:val="00CE3575"/>
    <w:rsid w:val="00CE53EE"/>
    <w:rsid w:val="00CE6218"/>
    <w:rsid w:val="00CF1863"/>
    <w:rsid w:val="00CF4407"/>
    <w:rsid w:val="00CF508A"/>
    <w:rsid w:val="00CF5317"/>
    <w:rsid w:val="00D01C67"/>
    <w:rsid w:val="00D0600E"/>
    <w:rsid w:val="00D134D5"/>
    <w:rsid w:val="00D1625C"/>
    <w:rsid w:val="00D25564"/>
    <w:rsid w:val="00D3381E"/>
    <w:rsid w:val="00D403BD"/>
    <w:rsid w:val="00D43DC5"/>
    <w:rsid w:val="00D50121"/>
    <w:rsid w:val="00D543A5"/>
    <w:rsid w:val="00D54933"/>
    <w:rsid w:val="00D60C85"/>
    <w:rsid w:val="00D769C2"/>
    <w:rsid w:val="00D77419"/>
    <w:rsid w:val="00D80675"/>
    <w:rsid w:val="00D835DA"/>
    <w:rsid w:val="00DA07F1"/>
    <w:rsid w:val="00DA3E7C"/>
    <w:rsid w:val="00DA65BA"/>
    <w:rsid w:val="00DA72C3"/>
    <w:rsid w:val="00DB1C61"/>
    <w:rsid w:val="00DB5B07"/>
    <w:rsid w:val="00DC0FE8"/>
    <w:rsid w:val="00DC26CB"/>
    <w:rsid w:val="00DC6082"/>
    <w:rsid w:val="00DD21E3"/>
    <w:rsid w:val="00DE2AED"/>
    <w:rsid w:val="00DE3B21"/>
    <w:rsid w:val="00DE3B69"/>
    <w:rsid w:val="00DF245F"/>
    <w:rsid w:val="00DF4A48"/>
    <w:rsid w:val="00DF627B"/>
    <w:rsid w:val="00E146D8"/>
    <w:rsid w:val="00E14E0D"/>
    <w:rsid w:val="00E15477"/>
    <w:rsid w:val="00E26E70"/>
    <w:rsid w:val="00E446FB"/>
    <w:rsid w:val="00E62043"/>
    <w:rsid w:val="00E632D8"/>
    <w:rsid w:val="00E63DC9"/>
    <w:rsid w:val="00E6549B"/>
    <w:rsid w:val="00E760E8"/>
    <w:rsid w:val="00E82A71"/>
    <w:rsid w:val="00E9275B"/>
    <w:rsid w:val="00EB1CE4"/>
    <w:rsid w:val="00EB3117"/>
    <w:rsid w:val="00EC5FC1"/>
    <w:rsid w:val="00ED3669"/>
    <w:rsid w:val="00F14B6C"/>
    <w:rsid w:val="00F222D5"/>
    <w:rsid w:val="00F344F9"/>
    <w:rsid w:val="00F4168F"/>
    <w:rsid w:val="00F47793"/>
    <w:rsid w:val="00F5662E"/>
    <w:rsid w:val="00F71139"/>
    <w:rsid w:val="00F74C61"/>
    <w:rsid w:val="00F755D9"/>
    <w:rsid w:val="00F779FE"/>
    <w:rsid w:val="00F86D17"/>
    <w:rsid w:val="00F87B46"/>
    <w:rsid w:val="00FA1B5F"/>
    <w:rsid w:val="00FA1EAF"/>
    <w:rsid w:val="00FA2134"/>
    <w:rsid w:val="00FA3B82"/>
    <w:rsid w:val="00FA4FF0"/>
    <w:rsid w:val="00FB672B"/>
    <w:rsid w:val="00FB7277"/>
    <w:rsid w:val="00FC0E4D"/>
    <w:rsid w:val="00FC65BB"/>
    <w:rsid w:val="00FD0028"/>
    <w:rsid w:val="00FD60C5"/>
    <w:rsid w:val="00FD7EB5"/>
    <w:rsid w:val="00FD7F4B"/>
    <w:rsid w:val="00FF22E6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1F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AE"/>
  </w:style>
  <w:style w:type="paragraph" w:styleId="Zpat">
    <w:name w:val="footer"/>
    <w:basedOn w:val="Normln"/>
    <w:link w:val="Zpat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AE"/>
  </w:style>
  <w:style w:type="character" w:styleId="Sledovanodkaz">
    <w:name w:val="FollowedHyperlink"/>
    <w:basedOn w:val="Standardnpsmoodstavce"/>
    <w:uiPriority w:val="99"/>
    <w:semiHidden/>
    <w:unhideWhenUsed/>
    <w:rsid w:val="001D276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58B3"/>
    <w:rPr>
      <w:color w:val="605E5C"/>
      <w:shd w:val="clear" w:color="auto" w:fill="E1DFDD"/>
    </w:rPr>
  </w:style>
  <w:style w:type="character" w:customStyle="1" w:styleId="oj-italic">
    <w:name w:val="oj-italic"/>
    <w:basedOn w:val="Standardnpsmoodstavce"/>
    <w:rsid w:val="004724E8"/>
  </w:style>
  <w:style w:type="character" w:styleId="Odkaznakoment">
    <w:name w:val="annotation reference"/>
    <w:basedOn w:val="Standardnpsmoodstavce"/>
    <w:uiPriority w:val="99"/>
    <w:semiHidden/>
    <w:unhideWhenUsed/>
    <w:rsid w:val="00060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B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1F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AE"/>
  </w:style>
  <w:style w:type="paragraph" w:styleId="Zpat">
    <w:name w:val="footer"/>
    <w:basedOn w:val="Normln"/>
    <w:link w:val="Zpat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AE"/>
  </w:style>
  <w:style w:type="character" w:styleId="Sledovanodkaz">
    <w:name w:val="FollowedHyperlink"/>
    <w:basedOn w:val="Standardnpsmoodstavce"/>
    <w:uiPriority w:val="99"/>
    <w:semiHidden/>
    <w:unhideWhenUsed/>
    <w:rsid w:val="001D276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58B3"/>
    <w:rPr>
      <w:color w:val="605E5C"/>
      <w:shd w:val="clear" w:color="auto" w:fill="E1DFDD"/>
    </w:rPr>
  </w:style>
  <w:style w:type="character" w:customStyle="1" w:styleId="oj-italic">
    <w:name w:val="oj-italic"/>
    <w:basedOn w:val="Standardnpsmoodstavce"/>
    <w:rsid w:val="004724E8"/>
  </w:style>
  <w:style w:type="character" w:styleId="Odkaznakoment">
    <w:name w:val="annotation reference"/>
    <w:basedOn w:val="Standardnpsmoodstavce"/>
    <w:uiPriority w:val="99"/>
    <w:semiHidden/>
    <w:unhideWhenUsed/>
    <w:rsid w:val="00060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6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4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6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1195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3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97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9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37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1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5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2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2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3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4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1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5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8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84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8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8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90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7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3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1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80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44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5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2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7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5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6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94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6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51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5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4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4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5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0005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0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9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4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1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2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9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3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6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7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24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8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54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0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1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9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54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72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1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0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84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8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2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8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5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1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0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23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20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30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9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0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7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9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3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9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65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8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4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7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954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44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182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2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11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79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1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9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8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70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8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27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9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8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6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632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0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1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39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84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55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29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79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9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244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2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586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5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36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1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7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32019R0004&amp;from=CS" TargetMode="External"/><Relationship Id="rId13" Type="http://schemas.openxmlformats.org/officeDocument/2006/relationships/hyperlink" Target="https://eur-lex.europa.eu/legal-content/CS/TXT/PDF/?uri=CELEX:32021R0577&amp;from=CS" TargetMode="External"/><Relationship Id="rId18" Type="http://schemas.openxmlformats.org/officeDocument/2006/relationships/hyperlink" Target="https://eur-lex.europa.eu/legal-content/CS/TXT/PDF/?uri=CELEX:32021R1281&amp;from=C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ur-lex.europa.eu/legal-content/CS/TXT/PDF/?uri=CELEX:32022R0209&amp;from=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PDF/?uri=CELEX:32021R0017&amp;from=CS" TargetMode="External"/><Relationship Id="rId17" Type="http://schemas.openxmlformats.org/officeDocument/2006/relationships/hyperlink" Target="https://eur-lex.europa.eu/legal-content/CS/TXT/PDF/?uri=CELEX:32021R1280&amp;from=C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CS/TXT/PDF/?uri=CELEX:32021R1248&amp;from=CS" TargetMode="External"/><Relationship Id="rId20" Type="http://schemas.openxmlformats.org/officeDocument/2006/relationships/hyperlink" Target="https://eur-lex.europa.eu/legal-content/CS/TXT/PDF/?uri=CELEX:32021R1904&amp;from=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PDF/?uri=CELEX:32021R0016&amp;from=CS" TargetMode="External"/><Relationship Id="rId24" Type="http://schemas.openxmlformats.org/officeDocument/2006/relationships/hyperlink" Target="https://eur-lex.europa.eu/legal-content/CS/TXT/?uri=CELEX%3A02004R0726-20220128&amp;qid=1644833356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CS/TXT/PDF/?uri=CELEX:32021R0963&amp;from=CS" TargetMode="External"/><Relationship Id="rId23" Type="http://schemas.openxmlformats.org/officeDocument/2006/relationships/hyperlink" Target="https://eur-lex.europa.eu/legal-content/CS/TXT/PDF/?uri=CELEX:32021R2304&amp;from=CS" TargetMode="External"/><Relationship Id="rId10" Type="http://schemas.openxmlformats.org/officeDocument/2006/relationships/hyperlink" Target="https://eur-lex.europa.eu/legal-content/CS/TXT/?uri=CELEX%3A32019R0006&amp;qid=1643813254638" TargetMode="External"/><Relationship Id="rId19" Type="http://schemas.openxmlformats.org/officeDocument/2006/relationships/hyperlink" Target="https://eur-lex.europa.eu/legal-content/CS/TXT/PDF/?uri=CELEX:32021R1760&amp;from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02019R0006-20220128&amp;qid=1643705186812&amp;from=CS" TargetMode="External"/><Relationship Id="rId14" Type="http://schemas.openxmlformats.org/officeDocument/2006/relationships/hyperlink" Target="https://eur-lex.europa.eu/legal-content/CS/TXT/PDF/?uri=CELEX:32021R0578&amp;from=CS" TargetMode="External"/><Relationship Id="rId22" Type="http://schemas.openxmlformats.org/officeDocument/2006/relationships/hyperlink" Target="https://eur-lex.europa.eu/legal-content/CS/TXT/PDF/?uri=CELEX:52021XC0709(02)&amp;from=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8214-3D6E-4FCB-BB14-9A97703F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1911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Dita Němcová Ph.D.</dc:creator>
  <cp:lastModifiedBy>Richterová Anna</cp:lastModifiedBy>
  <cp:revision>7</cp:revision>
  <cp:lastPrinted>2022-02-02T12:17:00Z</cp:lastPrinted>
  <dcterms:created xsi:type="dcterms:W3CDTF">2022-02-14T10:10:00Z</dcterms:created>
  <dcterms:modified xsi:type="dcterms:W3CDTF">2022-04-11T12:31:00Z</dcterms:modified>
</cp:coreProperties>
</file>